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AF5881">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643" w:firstLineChars="200"/>
        <w:jc w:val="center"/>
        <w:textAlignment w:val="auto"/>
        <w:rPr>
          <w:b/>
          <w:bCs/>
          <w:sz w:val="32"/>
          <w:szCs w:val="32"/>
        </w:rPr>
      </w:pPr>
      <w:r>
        <w:rPr>
          <w:b/>
          <w:bCs/>
          <w:sz w:val="32"/>
          <w:szCs w:val="32"/>
        </w:rPr>
        <w:t>探究核心素养落地途径，深化概率统计概念教学</w:t>
      </w:r>
    </w:p>
    <w:p w14:paraId="2BE33670">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2" w:firstLineChars="200"/>
        <w:jc w:val="right"/>
        <w:textAlignment w:val="auto"/>
        <w:rPr>
          <w:b/>
          <w:bCs/>
        </w:rPr>
      </w:pPr>
      <w:r>
        <w:rPr>
          <w:b/>
          <w:bCs/>
        </w:rPr>
        <w:t>——陈埭民族中学高中数学教研组</w:t>
      </w:r>
      <w:r>
        <w:rPr>
          <w:rFonts w:hint="eastAsia"/>
          <w:b/>
          <w:bCs/>
        </w:rPr>
        <w:t>活动报道</w:t>
      </w:r>
    </w:p>
    <w:p w14:paraId="6DCEE9E2">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pPr>
      <w:r>
        <w:t>为深入探讨高中数学核心素养在课堂教学中的落地途径，提升教师对概率统计板块的教学设计与实施能力，陈埭民族中学高中数学教研组于</w:t>
      </w:r>
      <w:r>
        <w:rPr>
          <w:rFonts w:hint="eastAsia"/>
        </w:rPr>
        <w:t>3月31号</w:t>
      </w:r>
      <w:r>
        <w:t>组织了一场主题鲜明的听评课教研活动。本次活动以高二年级郑宇泽老师执教的《7.3.1 离散型随机变量的均值》一课为载体，全体高中数学教师齐聚</w:t>
      </w:r>
      <w:r>
        <w:rPr>
          <w:rFonts w:hint="eastAsia"/>
        </w:rPr>
        <w:t>录播室</w:t>
      </w:r>
      <w:r>
        <w:t>，共同观摩研讨。</w:t>
      </w:r>
    </w:p>
    <w:p w14:paraId="35EF6D6D">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2" w:firstLineChars="200"/>
        <w:textAlignment w:val="auto"/>
      </w:pPr>
      <w:r>
        <w:rPr>
          <w:rStyle w:val="16"/>
        </w:rPr>
        <w:t>一、精彩课堂展示：层层递进，凸显本质</w:t>
      </w:r>
    </w:p>
    <w:p w14:paraId="3D45BED9">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pPr>
      <w:r>
        <w:t>郑宇泽老师本节课的教学设计严谨而深刻，以“离散型随机变量的均值”为核心，紧密围绕数学抽象、逻辑推理、数学建模、数学运算、数据分析等核心素养展开。</w:t>
      </w:r>
    </w:p>
    <w:p w14:paraId="37B752EA">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pPr>
      <w:r>
        <w:t>课堂伊始，郑老师以“比较甲、乙两名射箭运动员水平”的真实问题导入，巧妙地设计了三个渐进式情境：从</w:t>
      </w:r>
      <w:r>
        <w:rPr>
          <w:rStyle w:val="16"/>
        </w:rPr>
        <w:t>算术平均</w:t>
      </w:r>
      <w:r>
        <w:t>到</w:t>
      </w:r>
      <w:r>
        <w:rPr>
          <w:rStyle w:val="16"/>
        </w:rPr>
        <w:t>频率加权平均</w:t>
      </w:r>
      <w:r>
        <w:t>，最终自然过渡到基于分布列的</w:t>
      </w:r>
      <w:r>
        <w:rPr>
          <w:rStyle w:val="16"/>
        </w:rPr>
        <w:t>概率加权平均</w:t>
      </w:r>
      <w:r>
        <w:t>。这一“特殊到一般”的概念建构过程，引导学生从具体的样本均值抽象出一般的数学期望定义 ，深刻揭示了数学期望是随机变量取值的“概率加权平均”这一本质，有效促进了学生数学抽象思维的发展。</w:t>
      </w:r>
    </w:p>
    <w:p w14:paraId="0EF4AACF">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pPr>
      <w:r>
        <w:t>在突破“样本均值与总体均值关系”这一难点时，郑老师引入了“掷骰子”模拟试验，通过对比重复60次与300次后样本均值的波动情况，引导学生自主发现：总体均值（期望）是确定的常数，而样本均值具有随机性，且随着试验次数增加，样本均值会稳定于总体均值。这一设计将抽象的数学概念与直观的统计实验相结合，有力培养了学生的数据分析观念和随机思想。</w:t>
      </w:r>
    </w:p>
    <w:p w14:paraId="5B498BD5">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2" w:firstLineChars="200"/>
        <w:textAlignment w:val="auto"/>
      </w:pPr>
      <w:r>
        <w:rPr>
          <w:rStyle w:val="16"/>
        </w:rPr>
        <w:t>二、深化理解与应用：性质探究，学以致用</w:t>
      </w:r>
    </w:p>
    <w:p w14:paraId="2F8652E8">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pPr>
      <w:r>
        <w:t xml:space="preserve">在得出均值定义后，课堂进入性质探究环节。郑老师引导学生自主推导了离散型随机变量均值的线性性质 </w:t>
      </w:r>
      <w:r>
        <w:rPr>
          <w:rStyle w:val="35"/>
        </w:rPr>
        <w:t>E</w:t>
      </w:r>
      <w:r>
        <w:rPr>
          <w:rStyle w:val="36"/>
        </w:rPr>
        <w:t>(</w:t>
      </w:r>
      <w:r>
        <w:rPr>
          <w:rStyle w:val="35"/>
        </w:rPr>
        <w:t>aX</w:t>
      </w:r>
      <w:r>
        <w:rPr>
          <w:rStyle w:val="41"/>
        </w:rPr>
        <w:t>+</w:t>
      </w:r>
      <w:r>
        <w:rPr>
          <w:rStyle w:val="35"/>
        </w:rPr>
        <w:t>b</w:t>
      </w:r>
      <w:r>
        <w:rPr>
          <w:rStyle w:val="37"/>
        </w:rPr>
        <w:t>)</w:t>
      </w:r>
      <w:r>
        <w:rPr>
          <w:rStyle w:val="38"/>
        </w:rPr>
        <w:t>=</w:t>
      </w:r>
      <w:r>
        <w:rPr>
          <w:rStyle w:val="35"/>
        </w:rPr>
        <w:t>aE</w:t>
      </w:r>
      <w:r>
        <w:rPr>
          <w:rStyle w:val="36"/>
        </w:rPr>
        <w:t>(</w:t>
      </w:r>
      <w:r>
        <w:rPr>
          <w:rStyle w:val="35"/>
        </w:rPr>
        <w:t>X</w:t>
      </w:r>
      <w:r>
        <w:rPr>
          <w:rStyle w:val="37"/>
        </w:rPr>
        <w:t>)</w:t>
      </w:r>
      <w:r>
        <w:rPr>
          <w:rStyle w:val="41"/>
        </w:rPr>
        <w:t>+</w:t>
      </w:r>
      <w:r>
        <w:rPr>
          <w:rStyle w:val="35"/>
        </w:rPr>
        <w:t>b</w:t>
      </w:r>
      <w:r>
        <w:t>，并通过证明过程锻炼了学生的逻辑推理与数学运算能力。</w:t>
      </w:r>
    </w:p>
    <w:p w14:paraId="4F2750AB">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pPr>
      <w:r>
        <w:t>本节课最大的亮点在于将数学知识置于真实决策情境中应用。郑老师精心选取了两个案例：</w:t>
      </w:r>
    </w:p>
    <w:p w14:paraId="324E876A">
      <w:pPr>
        <w:pStyle w:val="12"/>
        <w:keepNext w:val="0"/>
        <w:keepLines w:val="0"/>
        <w:pageBreakBefore w:val="0"/>
        <w:numPr>
          <w:ilvl w:val="0"/>
          <w:numId w:val="1"/>
        </w:numPr>
        <w:kinsoku/>
        <w:wordWrap/>
        <w:overflowPunct/>
        <w:topLinePunct w:val="0"/>
        <w:autoSpaceDE/>
        <w:autoSpaceDN/>
        <w:bidi w:val="0"/>
        <w:adjustRightInd w:val="0"/>
        <w:snapToGrid w:val="0"/>
        <w:spacing w:before="0" w:beforeAutospacing="0" w:after="0" w:afterAutospacing="0" w:line="360" w:lineRule="auto"/>
        <w:ind w:left="0" w:firstLine="482" w:firstLineChars="200"/>
        <w:textAlignment w:val="auto"/>
      </w:pPr>
      <w:r>
        <w:rPr>
          <w:rStyle w:val="16"/>
        </w:rPr>
        <w:t>“猜歌游戏”决策问题</w:t>
      </w:r>
      <w:r>
        <w:t>：学生需要计算按不同顺序猜歌（A→B→C等）所能获得公益基金的期望值。通过计算对比六种顺序的期望收益（如A,B,C顺序的期望为2336元，A,C,B顺序为2144元），学生不仅巩固了分布列构建与复杂期望计算，更直观理解了“期望值最大”的决策原则，并发现“由易到难”的猜歌顺序通常能获得最大期望收益，深刻体会到数学建模在优化决策中的价值。</w:t>
      </w:r>
    </w:p>
    <w:p w14:paraId="09ADB871">
      <w:pPr>
        <w:pStyle w:val="12"/>
        <w:keepNext w:val="0"/>
        <w:keepLines w:val="0"/>
        <w:pageBreakBefore w:val="0"/>
        <w:numPr>
          <w:ilvl w:val="0"/>
          <w:numId w:val="1"/>
        </w:numPr>
        <w:kinsoku/>
        <w:wordWrap/>
        <w:overflowPunct/>
        <w:topLinePunct w:val="0"/>
        <w:autoSpaceDE/>
        <w:autoSpaceDN/>
        <w:bidi w:val="0"/>
        <w:adjustRightInd w:val="0"/>
        <w:snapToGrid w:val="0"/>
        <w:spacing w:before="0" w:beforeAutospacing="0" w:after="0" w:afterAutospacing="0" w:line="360" w:lineRule="auto"/>
        <w:ind w:left="0" w:firstLine="482" w:firstLineChars="200"/>
        <w:textAlignment w:val="auto"/>
      </w:pPr>
      <w:r>
        <w:rPr>
          <w:rStyle w:val="16"/>
        </w:rPr>
        <w:t>“防洪方案”决策问题</w:t>
      </w:r>
      <w:r>
        <w:t>：面对可能发生的洪水，学生需要从“运走设备”、“建防护墙”、“不采取措施”三种方案中，通过比较期望损失（分别为3800元、2600元、3100元）做出最优选择（方案2）。此案例让学生明确，数学期望为长期或多次重复决策提供了量化依据，同时也理解了其统计意义——对单次事件不一定成立，培养了学生的理性决策思维与应用意识。</w:t>
      </w:r>
    </w:p>
    <w:p w14:paraId="68896CBD">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2" w:firstLineChars="200"/>
        <w:textAlignment w:val="auto"/>
      </w:pPr>
      <w:r>
        <w:rPr>
          <w:rStyle w:val="16"/>
        </w:rPr>
        <w:t>三、研讨交流促成长：理念交融，共识凝聚</w:t>
      </w:r>
    </w:p>
    <w:p w14:paraId="7B1D7682">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pPr>
      <w:r>
        <w:t>课后，教研组进行了深入细致的评课交流。老师们一致认为，本节课是一节高质量的概念新授课，主要体现在以下几个方面：</w:t>
      </w:r>
    </w:p>
    <w:p w14:paraId="34584FFD">
      <w:pPr>
        <w:pStyle w:val="12"/>
        <w:keepNext w:val="0"/>
        <w:keepLines w:val="0"/>
        <w:pageBreakBefore w:val="0"/>
        <w:numPr>
          <w:ilvl w:val="0"/>
          <w:numId w:val="2"/>
        </w:numPr>
        <w:kinsoku/>
        <w:wordWrap/>
        <w:overflowPunct/>
        <w:topLinePunct w:val="0"/>
        <w:autoSpaceDE/>
        <w:autoSpaceDN/>
        <w:bidi w:val="0"/>
        <w:adjustRightInd w:val="0"/>
        <w:snapToGrid w:val="0"/>
        <w:spacing w:before="0" w:beforeAutospacing="0" w:after="0" w:afterAutospacing="0" w:line="360" w:lineRule="auto"/>
        <w:ind w:left="0" w:firstLine="482" w:firstLineChars="200"/>
        <w:textAlignment w:val="auto"/>
      </w:pPr>
      <w:r>
        <w:rPr>
          <w:rStyle w:val="16"/>
        </w:rPr>
        <w:t>设计层次分明，符合认知规律</w:t>
      </w:r>
      <w:r>
        <w:t>：从具体实例到抽象定义，从性质推导到综合应用，教学脉络清晰，层层递进，有效突破了教学重难点。</w:t>
      </w:r>
    </w:p>
    <w:p w14:paraId="3B017301">
      <w:pPr>
        <w:pStyle w:val="12"/>
        <w:keepNext w:val="0"/>
        <w:keepLines w:val="0"/>
        <w:pageBreakBefore w:val="0"/>
        <w:numPr>
          <w:ilvl w:val="0"/>
          <w:numId w:val="2"/>
        </w:numPr>
        <w:kinsoku/>
        <w:wordWrap/>
        <w:overflowPunct/>
        <w:topLinePunct w:val="0"/>
        <w:autoSpaceDE/>
        <w:autoSpaceDN/>
        <w:bidi w:val="0"/>
        <w:adjustRightInd w:val="0"/>
        <w:snapToGrid w:val="0"/>
        <w:spacing w:before="0" w:beforeAutospacing="0" w:after="0" w:afterAutospacing="0" w:line="360" w:lineRule="auto"/>
        <w:ind w:left="0" w:firstLine="482" w:firstLineChars="200"/>
        <w:textAlignment w:val="auto"/>
      </w:pPr>
      <w:r>
        <w:rPr>
          <w:rStyle w:val="16"/>
        </w:rPr>
        <w:t>素养落地扎实</w:t>
      </w:r>
      <w:r>
        <w:t>：整堂课以问题驱动，学生在情境中探究、在思考中建构，数学抽象、逻辑推理、数学建模、数学运算、数据分析等核心素养得到了综合培养与落实。</w:t>
      </w:r>
    </w:p>
    <w:p w14:paraId="41A5BBE3">
      <w:pPr>
        <w:pStyle w:val="12"/>
        <w:keepNext w:val="0"/>
        <w:keepLines w:val="0"/>
        <w:pageBreakBefore w:val="0"/>
        <w:numPr>
          <w:ilvl w:val="0"/>
          <w:numId w:val="2"/>
        </w:numPr>
        <w:kinsoku/>
        <w:wordWrap/>
        <w:overflowPunct/>
        <w:topLinePunct w:val="0"/>
        <w:autoSpaceDE/>
        <w:autoSpaceDN/>
        <w:bidi w:val="0"/>
        <w:adjustRightInd w:val="0"/>
        <w:snapToGrid w:val="0"/>
        <w:spacing w:before="0" w:beforeAutospacing="0" w:after="0" w:afterAutospacing="0" w:line="360" w:lineRule="auto"/>
        <w:ind w:left="0" w:firstLine="482" w:firstLineChars="200"/>
        <w:textAlignment w:val="auto"/>
      </w:pPr>
      <w:r>
        <w:rPr>
          <w:rStyle w:val="16"/>
        </w:rPr>
        <w:t>“学案导学”运用有效</w:t>
      </w:r>
      <w:r>
        <w:t>：配套的《导学案》为学生提供了清晰的学习路径和探究支架。“预习自测”引导课前自学，“课堂探究”环节与教学设计同步，有效记录了学生的思维过程，实现了“教、学、评”一体化。</w:t>
      </w:r>
    </w:p>
    <w:p w14:paraId="0E25DB18">
      <w:pPr>
        <w:pStyle w:val="12"/>
        <w:keepNext w:val="0"/>
        <w:keepLines w:val="0"/>
        <w:pageBreakBefore w:val="0"/>
        <w:numPr>
          <w:ilvl w:val="0"/>
          <w:numId w:val="2"/>
        </w:numPr>
        <w:kinsoku/>
        <w:wordWrap/>
        <w:overflowPunct/>
        <w:topLinePunct w:val="0"/>
        <w:autoSpaceDE/>
        <w:autoSpaceDN/>
        <w:bidi w:val="0"/>
        <w:adjustRightInd w:val="0"/>
        <w:snapToGrid w:val="0"/>
        <w:spacing w:before="0" w:beforeAutospacing="0" w:after="0" w:afterAutospacing="0" w:line="360" w:lineRule="auto"/>
        <w:ind w:left="0" w:firstLine="482" w:firstLineChars="200"/>
        <w:textAlignment w:val="auto"/>
      </w:pPr>
      <w:r>
        <w:rPr>
          <w:rStyle w:val="16"/>
        </w:rPr>
        <w:t>思想方法渗透自然</w:t>
      </w:r>
      <w:r>
        <w:t>：教学中融入了从特殊到一般、类比、函数与方程、统计估计等多种数学思想方法。</w:t>
      </w:r>
    </w:p>
    <w:p w14:paraId="5D52E336">
      <w:pPr>
        <w:pStyle w:val="12"/>
        <w:keepNext w:val="0"/>
        <w:keepLines w:val="0"/>
        <w:pageBreakBefore w:val="0"/>
        <w:numPr>
          <w:ilvl w:val="0"/>
          <w:numId w:val="2"/>
        </w:numPr>
        <w:kinsoku/>
        <w:wordWrap/>
        <w:overflowPunct/>
        <w:topLinePunct w:val="0"/>
        <w:autoSpaceDE/>
        <w:autoSpaceDN/>
        <w:bidi w:val="0"/>
        <w:adjustRightInd w:val="0"/>
        <w:snapToGrid w:val="0"/>
        <w:spacing w:before="0" w:beforeAutospacing="0" w:after="0" w:afterAutospacing="0" w:line="360" w:lineRule="auto"/>
        <w:ind w:left="0" w:firstLine="482" w:firstLineChars="200"/>
        <w:textAlignment w:val="auto"/>
      </w:pPr>
      <w:r>
        <w:rPr>
          <w:rStyle w:val="16"/>
        </w:rPr>
        <w:t>分层教学理念凸显</w:t>
      </w:r>
      <w:r>
        <w:t>：课堂练习与课后作业（A层基础巩固、B层能力提升、C层拓展探究）的设计充分考虑学生差异，满足了不同层次学生的发展需求。</w:t>
      </w:r>
    </w:p>
    <w:p w14:paraId="4FE370FF">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2" w:firstLineChars="200"/>
        <w:textAlignment w:val="auto"/>
      </w:pPr>
      <w:r>
        <w:rPr>
          <w:rStyle w:val="16"/>
        </w:rPr>
        <w:t>四、结语</w:t>
      </w:r>
    </w:p>
    <w:p w14:paraId="6372D36E">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pPr>
      <w:r>
        <w:t>本次教研活动以一堂生动的展示课为切入点，为教研组教师提供了研讨核心素养课堂实践的宝贵范例。通过对《离散型随机变量的均值》一课的观摩与研讨，教师们对如何通过巧妙的情境设计、严谨的思维训练以及贴近实际的应用案例来落实数学核心素养有了更深刻的体会。陈埭民族中学高中数学教研组将继续深耕课堂，聚焦学生发展，通过扎实的教研活动不断提升教育教学质量。</w:t>
      </w:r>
    </w:p>
    <w:p w14:paraId="24C48FA0">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pPr>
    </w:p>
    <w:p w14:paraId="09FF2DDD">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0" w:firstLineChars="200"/>
        <w:jc w:val="right"/>
        <w:textAlignment w:val="auto"/>
        <w:rPr>
          <w:rFonts w:hint="eastAsia"/>
          <w:lang w:val="en-US" w:eastAsia="zh-CN"/>
        </w:rPr>
      </w:pPr>
      <w:r>
        <w:rPr>
          <w:rFonts w:hint="eastAsia"/>
          <w:lang w:val="en-US" w:eastAsia="zh-CN"/>
        </w:rPr>
        <w:t>图文：高中数学教研组</w:t>
      </w:r>
    </w:p>
    <w:p w14:paraId="31A75571">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0" w:firstLineChars="200"/>
        <w:jc w:val="right"/>
        <w:textAlignment w:val="auto"/>
        <w:rPr>
          <w:rFonts w:hint="eastAsia"/>
          <w:lang w:val="en-US" w:eastAsia="zh-CN"/>
        </w:rPr>
      </w:pPr>
      <w:r>
        <w:rPr>
          <w:rFonts w:hint="eastAsia"/>
          <w:lang w:val="en-US" w:eastAsia="zh-CN"/>
        </w:rPr>
        <w:t>一审：温博</w:t>
      </w:r>
    </w:p>
    <w:p w14:paraId="4FBDB4FA">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0" w:firstLineChars="200"/>
        <w:jc w:val="right"/>
        <w:textAlignment w:val="auto"/>
        <w:rPr>
          <w:rFonts w:hint="eastAsia"/>
          <w:lang w:val="en-US" w:eastAsia="zh-CN"/>
        </w:rPr>
      </w:pPr>
      <w:r>
        <w:rPr>
          <w:rFonts w:hint="eastAsia"/>
          <w:lang w:val="en-US" w:eastAsia="zh-CN"/>
        </w:rPr>
        <w:t>二审：莫洪君</w:t>
      </w:r>
    </w:p>
    <w:p w14:paraId="2DE22A54">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0" w:firstLineChars="200"/>
        <w:jc w:val="right"/>
        <w:textAlignment w:val="auto"/>
        <w:rPr>
          <w:rFonts w:hint="eastAsia"/>
          <w:lang w:val="en-US" w:eastAsia="zh-CN"/>
        </w:rPr>
      </w:pPr>
      <w:r>
        <w:rPr>
          <w:rFonts w:hint="eastAsia"/>
          <w:lang w:val="en-US" w:eastAsia="zh-CN"/>
        </w:rPr>
        <w:t>三审：邹文耀</w:t>
      </w:r>
    </w:p>
    <w:p w14:paraId="7C6E7C9B">
      <w:pPr>
        <w:pStyle w:val="1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firstLine="480" w:firstLineChars="200"/>
        <w:jc w:val="center"/>
        <w:textAlignment w:val="auto"/>
        <w:rPr>
          <w:rFonts w:hint="default"/>
          <w:lang w:val="en-US" w:eastAsia="zh-CN"/>
        </w:rPr>
      </w:pPr>
      <w:r>
        <w:rPr>
          <w:rFonts w:hint="eastAsia" w:eastAsiaTheme="minorEastAsia"/>
          <w:lang w:eastAsia="zh-CN"/>
        </w:rPr>
        <w:drawing>
          <wp:inline distT="0" distB="0" distL="114300" distR="114300">
            <wp:extent cx="7200265" cy="4052570"/>
            <wp:effectExtent l="0" t="0" r="635" b="5080"/>
            <wp:docPr id="2" name="图片 2" descr="图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一"/>
                    <pic:cNvPicPr>
                      <a:picLocks noChangeAspect="1"/>
                    </pic:cNvPicPr>
                  </pic:nvPicPr>
                  <pic:blipFill>
                    <a:blip r:embed="rId4"/>
                    <a:stretch>
                      <a:fillRect/>
                    </a:stretch>
                  </pic:blipFill>
                  <pic:spPr>
                    <a:xfrm>
                      <a:off x="0" y="0"/>
                      <a:ext cx="7200265" cy="4052570"/>
                    </a:xfrm>
                    <a:prstGeom prst="rect">
                      <a:avLst/>
                    </a:prstGeom>
                  </pic:spPr>
                </pic:pic>
              </a:graphicData>
            </a:graphic>
          </wp:inline>
        </w:drawing>
      </w:r>
      <w:bookmarkStart w:id="0" w:name="_GoBack"/>
      <w:r>
        <w:rPr>
          <w:rFonts w:hint="default"/>
          <w:lang w:val="en-US" w:eastAsia="zh-CN"/>
        </w:rPr>
        <w:drawing>
          <wp:inline distT="0" distB="0" distL="114300" distR="114300">
            <wp:extent cx="7200265" cy="5400040"/>
            <wp:effectExtent l="0" t="0" r="635" b="10160"/>
            <wp:docPr id="3" name="图片 3" descr="图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八"/>
                    <pic:cNvPicPr>
                      <a:picLocks noChangeAspect="1"/>
                    </pic:cNvPicPr>
                  </pic:nvPicPr>
                  <pic:blipFill>
                    <a:blip r:embed="rId5"/>
                    <a:stretch>
                      <a:fillRect/>
                    </a:stretch>
                  </pic:blipFill>
                  <pic:spPr>
                    <a:xfrm>
                      <a:off x="0" y="0"/>
                      <a:ext cx="7200265" cy="5400040"/>
                    </a:xfrm>
                    <a:prstGeom prst="rect">
                      <a:avLst/>
                    </a:prstGeom>
                  </pic:spPr>
                </pic:pic>
              </a:graphicData>
            </a:graphic>
          </wp:inline>
        </w:drawing>
      </w:r>
      <w:bookmarkEnd w:id="0"/>
    </w:p>
    <w:p w14:paraId="22F2DFE7">
      <w:pPr>
        <w:keepNext w:val="0"/>
        <w:keepLines w:val="0"/>
        <w:pageBreakBefore w:val="0"/>
        <w:kinsoku/>
        <w:wordWrap/>
        <w:overflowPunct/>
        <w:topLinePunct w:val="0"/>
        <w:autoSpaceDE/>
        <w:autoSpaceDN/>
        <w:bidi w:val="0"/>
        <w:adjustRightInd w:val="0"/>
        <w:snapToGrid w:val="0"/>
        <w:spacing w:beforeAutospacing="0" w:afterAutospacing="0" w:line="360" w:lineRule="auto"/>
        <w:ind w:left="0" w:firstLine="420" w:firstLineChars="200"/>
        <w:jc w:val="right"/>
        <w:textAlignment w:val="auto"/>
        <w:rPr>
          <w:rFonts w:hint="eastAsia" w:eastAsiaTheme="minorEastAsia"/>
          <w:lang w:eastAsia="zh-CN"/>
        </w:rPr>
      </w:pPr>
    </w:p>
    <w:sectPr>
      <w:pgSz w:w="16838" w:h="23811"/>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DB264F"/>
    <w:multiLevelType w:val="multilevel"/>
    <w:tmpl w:val="57DB264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677C3C28"/>
    <w:multiLevelType w:val="multilevel"/>
    <w:tmpl w:val="677C3C2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4CB"/>
    <w:rsid w:val="00676367"/>
    <w:rsid w:val="006D3080"/>
    <w:rsid w:val="008324CB"/>
    <w:rsid w:val="00CF422B"/>
    <w:rsid w:val="00F67CC0"/>
    <w:rsid w:val="16A432EC"/>
    <w:rsid w:val="3BEE7E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18"/>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19"/>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0"/>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1"/>
    <w:semiHidden/>
    <w:unhideWhenUsed/>
    <w:qFormat/>
    <w:uiPriority w:val="9"/>
    <w:pPr>
      <w:keepNext/>
      <w:keepLines/>
      <w:spacing w:before="80" w:after="40"/>
      <w:outlineLvl w:val="4"/>
    </w:pPr>
    <w:rPr>
      <w:rFonts w:cstheme="majorBidi"/>
      <w:color w:val="2F5597" w:themeColor="accent1" w:themeShade="BF"/>
      <w:sz w:val="24"/>
      <w:szCs w:val="24"/>
    </w:rPr>
  </w:style>
  <w:style w:type="paragraph" w:styleId="7">
    <w:name w:val="heading 6"/>
    <w:basedOn w:val="1"/>
    <w:next w:val="1"/>
    <w:link w:val="22"/>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3"/>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4"/>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5"/>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5">
    <w:name w:val="Default Paragraph Font"/>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11">
    <w:name w:val="Subtitle"/>
    <w:basedOn w:val="1"/>
    <w:next w:val="1"/>
    <w:link w:val="27"/>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13">
    <w:name w:val="Title"/>
    <w:basedOn w:val="1"/>
    <w:next w:val="1"/>
    <w:link w:val="26"/>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16">
    <w:name w:val="Strong"/>
    <w:basedOn w:val="15"/>
    <w:qFormat/>
    <w:uiPriority w:val="22"/>
    <w:rPr>
      <w:b/>
      <w:bCs/>
    </w:rPr>
  </w:style>
  <w:style w:type="character" w:customStyle="1" w:styleId="17">
    <w:name w:val="标题 1 字符"/>
    <w:basedOn w:val="15"/>
    <w:link w:val="2"/>
    <w:uiPriority w:val="9"/>
    <w:rPr>
      <w:rFonts w:asciiTheme="majorHAnsi" w:hAnsiTheme="majorHAnsi" w:eastAsiaTheme="majorEastAsia" w:cstheme="majorBidi"/>
      <w:color w:val="2F5597" w:themeColor="accent1" w:themeShade="BF"/>
      <w:sz w:val="48"/>
      <w:szCs w:val="48"/>
    </w:rPr>
  </w:style>
  <w:style w:type="character" w:customStyle="1" w:styleId="18">
    <w:name w:val="标题 2 字符"/>
    <w:basedOn w:val="15"/>
    <w:link w:val="3"/>
    <w:semiHidden/>
    <w:uiPriority w:val="9"/>
    <w:rPr>
      <w:rFonts w:asciiTheme="majorHAnsi" w:hAnsiTheme="majorHAnsi" w:eastAsiaTheme="majorEastAsia" w:cstheme="majorBidi"/>
      <w:color w:val="2F5597" w:themeColor="accent1" w:themeShade="BF"/>
      <w:sz w:val="40"/>
      <w:szCs w:val="40"/>
    </w:rPr>
  </w:style>
  <w:style w:type="character" w:customStyle="1" w:styleId="19">
    <w:name w:val="标题 3 字符"/>
    <w:basedOn w:val="15"/>
    <w:link w:val="4"/>
    <w:semiHidden/>
    <w:uiPriority w:val="9"/>
    <w:rPr>
      <w:rFonts w:asciiTheme="majorHAnsi" w:hAnsiTheme="majorHAnsi" w:eastAsiaTheme="majorEastAsia" w:cstheme="majorBidi"/>
      <w:color w:val="2F5597" w:themeColor="accent1" w:themeShade="BF"/>
      <w:sz w:val="32"/>
      <w:szCs w:val="32"/>
    </w:rPr>
  </w:style>
  <w:style w:type="character" w:customStyle="1" w:styleId="20">
    <w:name w:val="标题 4 字符"/>
    <w:basedOn w:val="15"/>
    <w:link w:val="5"/>
    <w:semiHidden/>
    <w:uiPriority w:val="9"/>
    <w:rPr>
      <w:rFonts w:cstheme="majorBidi"/>
      <w:color w:val="2F5597" w:themeColor="accent1" w:themeShade="BF"/>
      <w:sz w:val="28"/>
      <w:szCs w:val="28"/>
    </w:rPr>
  </w:style>
  <w:style w:type="character" w:customStyle="1" w:styleId="21">
    <w:name w:val="标题 5 字符"/>
    <w:basedOn w:val="15"/>
    <w:link w:val="6"/>
    <w:semiHidden/>
    <w:uiPriority w:val="9"/>
    <w:rPr>
      <w:rFonts w:cstheme="majorBidi"/>
      <w:color w:val="2F5597" w:themeColor="accent1" w:themeShade="BF"/>
      <w:sz w:val="24"/>
      <w:szCs w:val="24"/>
    </w:rPr>
  </w:style>
  <w:style w:type="character" w:customStyle="1" w:styleId="22">
    <w:name w:val="标题 6 字符"/>
    <w:basedOn w:val="15"/>
    <w:link w:val="7"/>
    <w:semiHidden/>
    <w:uiPriority w:val="9"/>
    <w:rPr>
      <w:rFonts w:cstheme="majorBidi"/>
      <w:b/>
      <w:bCs/>
      <w:color w:val="2F5597" w:themeColor="accent1" w:themeShade="BF"/>
    </w:rPr>
  </w:style>
  <w:style w:type="character" w:customStyle="1" w:styleId="23">
    <w:name w:val="标题 7 字符"/>
    <w:basedOn w:val="15"/>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4">
    <w:name w:val="标题 8 字符"/>
    <w:basedOn w:val="15"/>
    <w:link w:val="9"/>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5">
    <w:name w:val="标题 9 字符"/>
    <w:basedOn w:val="15"/>
    <w:link w:val="10"/>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6">
    <w:name w:val="标题 字符"/>
    <w:basedOn w:val="15"/>
    <w:link w:val="13"/>
    <w:uiPriority w:val="10"/>
    <w:rPr>
      <w:rFonts w:asciiTheme="majorHAnsi" w:hAnsiTheme="majorHAnsi" w:eastAsiaTheme="majorEastAsia" w:cstheme="majorBidi"/>
      <w:spacing w:val="-10"/>
      <w:kern w:val="28"/>
      <w:sz w:val="56"/>
      <w:szCs w:val="56"/>
    </w:rPr>
  </w:style>
  <w:style w:type="character" w:customStyle="1" w:styleId="27">
    <w:name w:val="副标题 字符"/>
    <w:basedOn w:val="15"/>
    <w:link w:val="11"/>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Quote"/>
    <w:basedOn w:val="1"/>
    <w:next w:val="1"/>
    <w:link w:val="29"/>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9">
    <w:name w:val="引用 字符"/>
    <w:basedOn w:val="15"/>
    <w:link w:val="28"/>
    <w:uiPriority w:val="29"/>
    <w:rPr>
      <w:i/>
      <w:iCs/>
      <w:color w:val="404040" w:themeColor="text1" w:themeTint="BF"/>
      <w14:textFill>
        <w14:solidFill>
          <w14:schemeClr w14:val="tx1">
            <w14:lumMod w14:val="75000"/>
            <w14:lumOff w14:val="25000"/>
          </w14:schemeClr>
        </w14:solidFill>
      </w14:textFill>
    </w:rPr>
  </w:style>
  <w:style w:type="paragraph" w:styleId="30">
    <w:name w:val="List Paragraph"/>
    <w:basedOn w:val="1"/>
    <w:qFormat/>
    <w:uiPriority w:val="34"/>
    <w:pPr>
      <w:ind w:left="720"/>
      <w:contextualSpacing/>
    </w:pPr>
  </w:style>
  <w:style w:type="character" w:customStyle="1" w:styleId="31">
    <w:name w:val="Intense Emphasis"/>
    <w:basedOn w:val="15"/>
    <w:qFormat/>
    <w:uiPriority w:val="21"/>
    <w:rPr>
      <w:i/>
      <w:iCs/>
      <w:color w:val="2F5597" w:themeColor="accent1" w:themeShade="BF"/>
    </w:rPr>
  </w:style>
  <w:style w:type="paragraph" w:styleId="32">
    <w:name w:val="Intense Quote"/>
    <w:basedOn w:val="1"/>
    <w:next w:val="1"/>
    <w:link w:val="33"/>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3">
    <w:name w:val="明显引用 字符"/>
    <w:basedOn w:val="15"/>
    <w:link w:val="32"/>
    <w:uiPriority w:val="30"/>
    <w:rPr>
      <w:i/>
      <w:iCs/>
      <w:color w:val="2F5597" w:themeColor="accent1" w:themeShade="BF"/>
    </w:rPr>
  </w:style>
  <w:style w:type="character" w:customStyle="1" w:styleId="34">
    <w:name w:val="Intense Reference"/>
    <w:basedOn w:val="15"/>
    <w:qFormat/>
    <w:uiPriority w:val="32"/>
    <w:rPr>
      <w:b/>
      <w:bCs/>
      <w:smallCaps/>
      <w:color w:val="2F5597" w:themeColor="accent1" w:themeShade="BF"/>
      <w:spacing w:val="5"/>
    </w:rPr>
  </w:style>
  <w:style w:type="character" w:customStyle="1" w:styleId="35">
    <w:name w:val="mord"/>
    <w:basedOn w:val="15"/>
    <w:qFormat/>
    <w:uiPriority w:val="0"/>
  </w:style>
  <w:style w:type="character" w:customStyle="1" w:styleId="36">
    <w:name w:val="mopen"/>
    <w:basedOn w:val="15"/>
    <w:uiPriority w:val="0"/>
  </w:style>
  <w:style w:type="character" w:customStyle="1" w:styleId="37">
    <w:name w:val="mclose"/>
    <w:basedOn w:val="15"/>
    <w:uiPriority w:val="0"/>
  </w:style>
  <w:style w:type="character" w:customStyle="1" w:styleId="38">
    <w:name w:val="mrel"/>
    <w:basedOn w:val="15"/>
    <w:uiPriority w:val="0"/>
  </w:style>
  <w:style w:type="character" w:customStyle="1" w:styleId="39">
    <w:name w:val="mop"/>
    <w:basedOn w:val="15"/>
    <w:uiPriority w:val="0"/>
  </w:style>
  <w:style w:type="character" w:customStyle="1" w:styleId="40">
    <w:name w:val="vlist-s"/>
    <w:basedOn w:val="15"/>
    <w:uiPriority w:val="0"/>
  </w:style>
  <w:style w:type="character" w:customStyle="1" w:styleId="41">
    <w:name w:val="mbin"/>
    <w:basedOn w:val="15"/>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1667</Words>
  <Characters>1712</Characters>
  <Lines>12</Lines>
  <Paragraphs>3</Paragraphs>
  <TotalTime>2</TotalTime>
  <ScaleCrop>false</ScaleCrop>
  <LinksUpToDate>false</LinksUpToDate>
  <CharactersWithSpaces>1715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2026-04-03T12:45:00Z</dcterms:created>
  <dc:creator>zikai wu</dc:creator>
  <cp:lastModifiedBy>嗯。过。</cp:lastModifiedBy>
  <dcterms:modified xsi:type="dcterms:W3CDTF">2026-04-17T00:28:15Z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eyJoZGlkIjoiZTczZTFiYjRlMjFiYzk1MjU3ZDI5MjYzNmI0N2JkNDAiLCJ1c2VySWQiOiI1NzQyNjUxODgifQ==</vt:lpwstr>
  </property>
  <property fmtid="{D5CDD505-2E9C-101B-9397-08002B2CF9AE}" pid="3" name="KSOProductBuildVer">
    <vt:lpwstr>2052-12.1.0.25225</vt:lpwstr>
  </property>
  <property fmtid="{D5CDD505-2E9C-101B-9397-08002B2CF9AE}" pid="4" name="ICV">
    <vt:lpwstr>1FEB49B85E2641FFA37CA3235EB0B955_12</vt:lpwstr>
  </property>
</Properties>
</file>