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67CEE">
      <w:pPr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晋江市</w:t>
      </w:r>
      <w:r>
        <w:rPr>
          <w:rFonts w:ascii="宋体" w:hAnsi="宋体" w:eastAsia="宋体"/>
          <w:b/>
          <w:bCs/>
          <w:sz w:val="28"/>
          <w:szCs w:val="28"/>
        </w:rPr>
        <w:t>陈埭民族高中数学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教研</w:t>
      </w:r>
      <w:r>
        <w:rPr>
          <w:rFonts w:ascii="宋体" w:hAnsi="宋体" w:eastAsia="宋体"/>
          <w:b/>
          <w:bCs/>
          <w:sz w:val="28"/>
          <w:szCs w:val="28"/>
        </w:rPr>
        <w:t>组开展“高效课堂”主题教研活动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​</w:t>
      </w:r>
    </w:p>
    <w:p w14:paraId="72D67AF5">
      <w:pPr>
        <w:jc w:val="left"/>
        <w:rPr>
          <w:rFonts w:ascii="宋体" w:hAnsi="宋体" w:eastAsia="宋体"/>
          <w:sz w:val="28"/>
          <w:szCs w:val="28"/>
        </w:rPr>
      </w:pPr>
      <w:r>
        <w:rPr>
          <w:rFonts w:ascii="Times New Roman" w:hAnsi="Times New Roman" w:eastAsia="宋体" w:cs="Times New Roman"/>
        </w:rPr>
        <w:t>​</w:t>
      </w:r>
      <w:r>
        <w:rPr>
          <w:rFonts w:hint="eastAsia" w:ascii="Times New Roman" w:hAnsi="Times New Roman" w:eastAsia="宋体" w:cs="Times New Roman"/>
          <w:lang w:val="en-US" w:eastAsia="zh-CN"/>
        </w:rPr>
        <w:t xml:space="preserve">   </w:t>
      </w:r>
      <w:r>
        <w:rPr>
          <w:rFonts w:ascii="宋体" w:hAnsi="宋体" w:eastAsia="宋体"/>
          <w:sz w:val="28"/>
          <w:szCs w:val="28"/>
        </w:rPr>
        <w:t>为进一步深化课堂教学改革，精准把握高考动向，提升高三数学复习课的效率，</w:t>
      </w:r>
      <w:r>
        <w:rPr>
          <w:rFonts w:hint="eastAsia" w:ascii="宋体" w:hAnsi="宋体" w:eastAsia="宋体"/>
          <w:sz w:val="28"/>
          <w:szCs w:val="28"/>
        </w:rPr>
        <w:t>10月14号</w:t>
      </w:r>
      <w:r>
        <w:rPr>
          <w:rFonts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晋江市</w:t>
      </w:r>
      <w:r>
        <w:rPr>
          <w:rFonts w:ascii="宋体" w:hAnsi="宋体" w:eastAsia="宋体"/>
          <w:sz w:val="28"/>
          <w:szCs w:val="28"/>
        </w:rPr>
        <w:t>陈埭民族高中数学教研组举行了一场以“聚焦核心素养，构建高效课堂”为主题的教研活动。</w:t>
      </w:r>
      <w:r>
        <w:rPr>
          <w:rFonts w:hint="eastAsia" w:ascii="宋体" w:hAnsi="宋体" w:eastAsia="宋体"/>
          <w:sz w:val="28"/>
          <w:szCs w:val="28"/>
        </w:rPr>
        <w:t>本次数学教研活动围绕卢晓聪老师的高三公开课《利用导数研究函数的单调性》成功举行。课后，全体高中数学教师参与了深入的观课研讨。</w:t>
      </w:r>
    </w:p>
    <w:p w14:paraId="29380E3A">
      <w:pPr>
        <w:rPr>
          <w:rFonts w:ascii="宋体" w:hAnsi="宋体" w:eastAsia="宋体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​</w:t>
      </w:r>
      <w:bookmarkStart w:id="0" w:name="OLE_LINK1"/>
      <w:r>
        <w:rPr>
          <w:rFonts w:hint="eastAsia" w:ascii="宋体" w:hAnsi="宋体" w:eastAsia="宋体" w:cs="Times New Roman"/>
          <w:sz w:val="28"/>
          <w:szCs w:val="28"/>
        </w:rPr>
        <w:t>一、</w:t>
      </w:r>
      <w:r>
        <w:rPr>
          <w:rFonts w:ascii="宋体" w:hAnsi="宋体" w:eastAsia="宋体"/>
          <w:sz w:val="28"/>
          <w:szCs w:val="28"/>
        </w:rPr>
        <w:t>聚焦高考，精准定位</w:t>
      </w:r>
      <w:r>
        <w:rPr>
          <w:rFonts w:ascii="Times New Roman" w:hAnsi="Times New Roman" w:eastAsia="宋体" w:cs="Times New Roman"/>
          <w:sz w:val="28"/>
          <w:szCs w:val="28"/>
        </w:rPr>
        <w:t>​</w:t>
      </w:r>
      <w:bookmarkEnd w:id="0"/>
    </w:p>
    <w:p w14:paraId="66869F69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活动伊始，卢晓聪老师首先进行了简短的教学分析。他指出，函数的单调性是高中数学的核心概念，利用导数研究单调性更是高考的高频考点和热点。针对学生在解决此类问题时容易产生的思维定式和运算繁杂等学情，卢老师将本节课的教学重点定为“掌握利用导数解决函数单调性的方法”，并巧妙地将教学难点设定为“含参问题的讨论”，体现了其精准的教学定位和对高考动向的深刻理解。</w:t>
      </w:r>
    </w:p>
    <w:p w14:paraId="559E5EE7">
      <w:pPr>
        <w:rPr>
          <w:rFonts w:ascii="宋体" w:hAnsi="宋体" w:eastAsia="宋体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​</w:t>
      </w:r>
      <w:r>
        <w:rPr>
          <w:rFonts w:hint="eastAsia" w:ascii="宋体" w:hAnsi="宋体" w:eastAsia="宋体" w:cs="Times New Roman"/>
          <w:sz w:val="28"/>
          <w:szCs w:val="28"/>
        </w:rPr>
        <w:t>二、</w:t>
      </w:r>
      <w:r>
        <w:rPr>
          <w:rFonts w:ascii="宋体" w:hAnsi="宋体" w:eastAsia="宋体"/>
          <w:sz w:val="28"/>
          <w:szCs w:val="28"/>
        </w:rPr>
        <w:t>课堂展示：和助五学，凸显思维</w:t>
      </w:r>
      <w:r>
        <w:rPr>
          <w:rFonts w:ascii="Times New Roman" w:hAnsi="Times New Roman" w:eastAsia="宋体" w:cs="Times New Roman"/>
          <w:sz w:val="28"/>
          <w:szCs w:val="28"/>
        </w:rPr>
        <w:t>​</w:t>
      </w:r>
    </w:p>
    <w:p w14:paraId="37ABA301"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在课堂教学环节，卢老师完美践行了“和助五学”的教学方法。整堂课以著名数学家波利亚的“主动发现”理念为指引，设计了清晰的三个环节：自主思考、合作互助、归纳总结。</w:t>
      </w:r>
    </w:p>
    <w:p w14:paraId="394C50D7">
      <w:pPr>
        <w:ind w:firstLine="420" w:firstLineChars="200"/>
        <w:jc w:val="center"/>
      </w:pPr>
      <w:r>
        <w:drawing>
          <wp:inline distT="0" distB="0" distL="0" distR="0">
            <wp:extent cx="3066415" cy="1725295"/>
            <wp:effectExtent l="0" t="0" r="635" b="8255"/>
            <wp:docPr id="18459974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997424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6415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r>
        <w:drawing>
          <wp:inline distT="0" distB="0" distL="0" distR="0">
            <wp:extent cx="3075305" cy="1729740"/>
            <wp:effectExtent l="0" t="0" r="10795" b="3810"/>
            <wp:docPr id="8816372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637277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5305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4E992418"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卢老师从基础的知识梳理入手，引导学生回顾了函数单调性与导数符号之间的关系，特别强调了“已知单调性求参数范围”时等号处理的易错点。在例题讲解阶段，他精选了2020年全国卷I、2023年新课标I卷等高考真题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讲解</w:t>
      </w:r>
      <w:r>
        <w:rPr>
          <w:rFonts w:ascii="宋体" w:hAnsi="宋体" w:eastAsia="宋体"/>
          <w:sz w:val="28"/>
          <w:szCs w:val="28"/>
        </w:rPr>
        <w:t>由浅入深，层层递进。在讲解例3的含参问题时，卢老师并不急于给出答案，而是鼓励学生先独立探究，再进行小组讨论，最后引导大家共同梳理分类讨论的标准。这种教学方式极大地调动了学生的积极性，使学生在亲身经历中突破难点，有效培养了数形结合思想和逻辑推理能力，提升了直观想象与数学运算的核心素养。</w:t>
      </w:r>
    </w:p>
    <w:p w14:paraId="640A988A">
      <w:pPr>
        <w:rPr>
          <w:rFonts w:ascii="宋体" w:hAnsi="宋体" w:eastAsia="宋体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​</w:t>
      </w:r>
      <w:r>
        <w:rPr>
          <w:rFonts w:hint="eastAsia" w:ascii="宋体" w:hAnsi="宋体" w:eastAsia="宋体" w:cs="Times New Roman"/>
          <w:sz w:val="28"/>
          <w:szCs w:val="28"/>
        </w:rPr>
        <w:t>三、</w:t>
      </w:r>
      <w:r>
        <w:rPr>
          <w:rFonts w:ascii="宋体" w:hAnsi="宋体" w:eastAsia="宋体"/>
          <w:sz w:val="28"/>
          <w:szCs w:val="28"/>
        </w:rPr>
        <w:t>研讨交流：思维碰撞，共同提升</w:t>
      </w:r>
      <w:r>
        <w:rPr>
          <w:rFonts w:ascii="Times New Roman" w:hAnsi="Times New Roman" w:eastAsia="宋体" w:cs="Times New Roman"/>
          <w:sz w:val="28"/>
          <w:szCs w:val="28"/>
        </w:rPr>
        <w:t>​</w:t>
      </w:r>
    </w:p>
    <w:p w14:paraId="058ACE9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课后，教研组组织了深入的研讨活动。老师们一致认为，卢老师的这节课教学设计严谨、例题选择经典、学生主体地位突出，是一节高效、扎实的示范课。</w:t>
      </w:r>
    </w:p>
    <w:p w14:paraId="36E9C50F">
      <w:pPr>
        <w:numPr>
          <w:ilvl w:val="0"/>
          <w:numId w:val="0"/>
        </w:num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卢老师将最新的高考题融入日常教学的做法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得到组内教师的一致认同</w:t>
      </w:r>
      <w:r>
        <w:rPr>
          <w:rFonts w:ascii="宋体" w:hAnsi="宋体" w:eastAsia="宋体"/>
          <w:sz w:val="28"/>
          <w:szCs w:val="28"/>
        </w:rPr>
        <w:t>，这不仅增强了教学的针对性，也让学生能零距离感受高考的命题思路。对于“含参问题”这一难点，卢老师通过引导学生自主发现分类讨论的“临界点”，将复杂的数学问题转化为清晰的思维流程，方法值得推广。</w:t>
      </w:r>
    </w:p>
    <w:p w14:paraId="41399B01">
      <w:pPr>
        <w:numPr>
          <w:ilvl w:val="0"/>
          <w:numId w:val="0"/>
        </w:num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教师们</w:t>
      </w:r>
      <w:r>
        <w:rPr>
          <w:rFonts w:ascii="宋体" w:hAnsi="宋体" w:eastAsia="宋体"/>
          <w:sz w:val="28"/>
          <w:szCs w:val="28"/>
        </w:rPr>
        <w:t>表示，卢老师的课启示大家，高三复习课不应是简单的知识重复，而应是学生思维方式的优化和重构，要敢于给学生思考的时间，引导他们灵活转变思维方式。</w:t>
      </w:r>
    </w:p>
    <w:p w14:paraId="59FC44F0">
      <w:pPr>
        <w:rPr>
          <w:rFonts w:ascii="宋体" w:hAnsi="宋体" w:eastAsia="宋体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​</w:t>
      </w:r>
      <w:r>
        <w:rPr>
          <w:rFonts w:hint="eastAsia" w:ascii="宋体" w:hAnsi="宋体" w:eastAsia="宋体" w:cs="Times New Roman"/>
          <w:sz w:val="28"/>
          <w:szCs w:val="28"/>
        </w:rPr>
        <w:t>四、</w:t>
      </w:r>
      <w:r>
        <w:rPr>
          <w:rFonts w:ascii="宋体" w:hAnsi="宋体" w:eastAsia="宋体"/>
          <w:sz w:val="28"/>
          <w:szCs w:val="28"/>
        </w:rPr>
        <w:t>总结展望</w:t>
      </w:r>
      <w:r>
        <w:rPr>
          <w:rFonts w:ascii="Times New Roman" w:hAnsi="Times New Roman" w:eastAsia="宋体" w:cs="Times New Roman"/>
          <w:sz w:val="28"/>
          <w:szCs w:val="28"/>
        </w:rPr>
        <w:t>​</w:t>
      </w:r>
    </w:p>
    <w:p w14:paraId="3DED8148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活动最后，教研组长</w:t>
      </w:r>
      <w:r>
        <w:rPr>
          <w:rFonts w:hint="eastAsia" w:ascii="宋体" w:hAnsi="宋体" w:eastAsia="宋体"/>
          <w:sz w:val="28"/>
          <w:szCs w:val="28"/>
        </w:rPr>
        <w:t>吴资凯老师</w:t>
      </w:r>
      <w:r>
        <w:rPr>
          <w:rFonts w:ascii="宋体" w:hAnsi="宋体" w:eastAsia="宋体"/>
          <w:sz w:val="28"/>
          <w:szCs w:val="28"/>
        </w:rPr>
        <w:t>对本次教研活动进行了总结。他感谢卢晓聪老师的精心准备和精彩展示，并强调全组教师应以此次活动为契机，继续深入研究新课程标准和高考评价体系，将“和助五学”的模式广泛应用于教学实践，不断锤炼课堂技艺，共同推动我校数学教学质量的稳步提升。</w:t>
      </w:r>
    </w:p>
    <w:p w14:paraId="5B8575AE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本次教研活动在热烈而务实的氛围中圆满结束。与会教师纷纷表示收获颇丰，将为打造更具活力与实效的数学课堂而继续努力。</w:t>
      </w:r>
    </w:p>
    <w:p w14:paraId="1D6B3CF5">
      <w:pPr>
        <w:jc w:val="center"/>
        <w:rPr>
          <w:rFonts w:ascii="宋体" w:hAnsi="宋体" w:eastAsia="宋体"/>
          <w:sz w:val="28"/>
          <w:szCs w:val="28"/>
        </w:rPr>
      </w:pPr>
      <w:r>
        <w:drawing>
          <wp:inline distT="0" distB="0" distL="0" distR="0">
            <wp:extent cx="3342640" cy="1880235"/>
            <wp:effectExtent l="0" t="0" r="10160" b="5715"/>
            <wp:docPr id="16549987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998765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2640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410D5">
      <w:pPr>
        <w:jc w:val="center"/>
        <w:rPr>
          <w:rFonts w:ascii="宋体" w:hAnsi="宋体" w:eastAsia="宋体"/>
          <w:sz w:val="28"/>
          <w:szCs w:val="28"/>
        </w:rPr>
      </w:pPr>
      <w:r>
        <w:drawing>
          <wp:inline distT="0" distB="0" distL="0" distR="0">
            <wp:extent cx="3408680" cy="1917700"/>
            <wp:effectExtent l="0" t="0" r="1270" b="6350"/>
            <wp:docPr id="63866890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668906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868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2D8F8">
      <w:pPr>
        <w:jc w:val="center"/>
      </w:pPr>
      <w:r>
        <w:drawing>
          <wp:inline distT="0" distB="0" distL="0" distR="0">
            <wp:extent cx="3390900" cy="1908175"/>
            <wp:effectExtent l="0" t="0" r="0" b="15875"/>
            <wp:docPr id="20619035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903572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90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8B0A5">
      <w:pPr>
        <w:ind w:firstLine="5320" w:firstLineChars="1900"/>
        <w:jc w:val="both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图文：高中数学教研组</w:t>
      </w:r>
    </w:p>
    <w:p w14:paraId="703A8BB3">
      <w:pPr>
        <w:ind w:firstLine="5320" w:firstLineChars="19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一审：温博</w:t>
      </w:r>
    </w:p>
    <w:p w14:paraId="72D64EC6">
      <w:pPr>
        <w:ind w:firstLine="5320" w:firstLineChars="19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二审：莫洪君</w:t>
      </w:r>
    </w:p>
    <w:p w14:paraId="6C34D66E">
      <w:pPr>
        <w:ind w:firstLine="5320" w:firstLineChars="19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三审：邹文耀</w:t>
      </w:r>
    </w:p>
    <w:p w14:paraId="2D10775B">
      <w:pPr>
        <w:rPr>
          <w:rFonts w:ascii="宋体" w:hAnsi="宋体" w:eastAsia="宋体"/>
          <w:sz w:val="28"/>
          <w:szCs w:val="28"/>
        </w:rPr>
      </w:pPr>
    </w:p>
    <w:p w14:paraId="343B4D06">
      <w:pPr>
        <w:jc w:val="center"/>
        <w:rPr>
          <w:rFonts w:ascii="宋体" w:hAnsi="宋体" w:eastAsia="宋体"/>
          <w:sz w:val="28"/>
          <w:szCs w:val="28"/>
        </w:rPr>
      </w:pPr>
    </w:p>
    <w:p w14:paraId="32E9F50C">
      <w:pPr>
        <w:jc w:val="center"/>
        <w:rPr>
          <w:rFonts w:ascii="宋体" w:hAnsi="宋体" w:eastAsia="宋体"/>
          <w:sz w:val="28"/>
          <w:szCs w:val="28"/>
        </w:rPr>
      </w:pPr>
    </w:p>
    <w:p w14:paraId="18A8F7B4">
      <w:pPr>
        <w:rPr>
          <w:rFonts w:ascii="宋体" w:hAnsi="宋体" w:eastAsia="宋体"/>
          <w:sz w:val="28"/>
          <w:szCs w:val="28"/>
        </w:rPr>
      </w:pPr>
    </w:p>
    <w:p w14:paraId="7370199D">
      <w:pPr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9C7"/>
    <w:rsid w:val="000D59C7"/>
    <w:rsid w:val="00324DE9"/>
    <w:rsid w:val="005412AE"/>
    <w:rsid w:val="006D3080"/>
    <w:rsid w:val="00757605"/>
    <w:rsid w:val="00DF7A11"/>
    <w:rsid w:val="00E94D89"/>
    <w:rsid w:val="00F67CC0"/>
    <w:rsid w:val="11094A15"/>
    <w:rsid w:val="1469268B"/>
    <w:rsid w:val="1E973BC8"/>
    <w:rsid w:val="228573CD"/>
    <w:rsid w:val="46DA72DE"/>
    <w:rsid w:val="64CE3F20"/>
    <w:rsid w:val="7544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1204</Words>
  <Characters>1212</Characters>
  <Lines>65</Lines>
  <Paragraphs>63</Paragraphs>
  <TotalTime>6</TotalTime>
  <ScaleCrop>false</ScaleCrop>
  <LinksUpToDate>false</LinksUpToDate>
  <CharactersWithSpaces>1215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2025-10-17T10:49:00Z</dcterms:created>
  <dc:creator>zikai wu</dc:creator>
  <cp:lastModifiedBy>嗯。过。</cp:lastModifiedBy>
  <dcterms:modified xsi:type="dcterms:W3CDTF">2025-10-27T03:03:14Z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eyJoZGlkIjoiZTczZTFiYjRlMjFiYzk1MjU3ZDI5MjYzNmI0N2JkNDAiLCJ1c2VySWQiOiI1NzQyNjUxODgifQ==</vt:lpwstr>
  </property>
  <property fmtid="{D5CDD505-2E9C-101B-9397-08002B2CF9AE}" pid="3" name="KSOProductBuildVer">
    <vt:lpwstr>2052-12.1.0.23125</vt:lpwstr>
  </property>
  <property fmtid="{D5CDD505-2E9C-101B-9397-08002B2CF9AE}" pid="4" name="ICV">
    <vt:lpwstr>603A9D6E08F94D2FBEE08BF2CAADD8D0_13</vt:lpwstr>
  </property>
</Properties>
</file>