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AC4942">
      <w:pPr>
        <w:spacing w:after="0" w:line="460" w:lineRule="exact"/>
        <w:jc w:val="center"/>
        <w:rPr>
          <w:rFonts w:hint="eastAsia" w:asciiTheme="majorEastAsia" w:hAnsiTheme="majorEastAsia" w:eastAsiaTheme="majorEastAsia"/>
          <w:b/>
          <w:bCs/>
          <w:sz w:val="36"/>
          <w:szCs w:val="36"/>
        </w:rPr>
      </w:pPr>
      <w:r>
        <w:rPr>
          <w:rFonts w:hint="eastAsia" w:asciiTheme="majorEastAsia" w:hAnsiTheme="majorEastAsia" w:eastAsiaTheme="majorEastAsia"/>
          <w:b/>
          <w:bCs/>
          <w:sz w:val="36"/>
          <w:szCs w:val="36"/>
        </w:rPr>
        <w:t>喜迎新学期，共谋新作为</w:t>
      </w:r>
    </w:p>
    <w:p w14:paraId="57835911">
      <w:pPr>
        <w:spacing w:after="0" w:line="460" w:lineRule="exact"/>
        <w:jc w:val="center"/>
        <w:rPr>
          <w:rFonts w:hint="eastAsia" w:ascii="宋体" w:hAnsi="宋体" w:eastAsia="宋体"/>
          <w:sz w:val="24"/>
          <w:szCs w:val="24"/>
        </w:rPr>
      </w:pPr>
      <w:r>
        <w:rPr>
          <w:rFonts w:hint="eastAsia" w:ascii="宋体" w:hAnsi="宋体" w:eastAsia="宋体"/>
          <w:sz w:val="24"/>
          <w:szCs w:val="24"/>
        </w:rPr>
        <w:t>——高中数学组召开新学期学科教学教研工作研讨会</w:t>
      </w:r>
    </w:p>
    <w:p w14:paraId="1406EF11">
      <w:pPr>
        <w:spacing w:after="0" w:line="460" w:lineRule="exact"/>
        <w:rPr>
          <w:rFonts w:hint="eastAsia" w:ascii="宋体" w:hAnsi="宋体" w:eastAsia="宋体"/>
          <w:sz w:val="24"/>
          <w:szCs w:val="24"/>
        </w:rPr>
      </w:pPr>
      <w:r>
        <w:rPr>
          <w:rFonts w:hint="eastAsia" w:ascii="宋体" w:hAnsi="宋体" w:eastAsia="宋体"/>
          <w:sz w:val="24"/>
          <w:szCs w:val="24"/>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2025年秋学期伊始，陈埭民族中学高中数学组召开了本学期第一次教研工作会议。本次会议以“深耕核心素养，点亮思维火花”为主题，聚焦学科建设与课堂重构三年规划方案的解读与实施路径，旨在推动高中数学教育从“知识导向”向“素养导向”的深刻转变。会议明确了未来三年数学学科建设的总体目标：构建符合校情特点、满足学生需求的课程体系，将数学教学从“解题”向“育智”升级。</w:t>
      </w:r>
    </w:p>
    <w:p w14:paraId="5DEE0B51">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一、</w:t>
      </w:r>
      <w:r>
        <w:rPr>
          <w:rFonts w:hint="eastAsia" w:ascii="宋体" w:hAnsi="宋体" w:eastAsia="宋体"/>
          <w:sz w:val="24"/>
          <w:szCs w:val="24"/>
        </w:rPr>
        <w:t>活动背景：教育帮扶引领发展</w:t>
      </w:r>
    </w:p>
    <w:p w14:paraId="60BAD4F4">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rPr>
        <w:t>本次教研活动建立在今年5月泉州五中与陈埭民族中学联合教研的基础上。当时泉州五中名师团队通过示范课展示、互动研讨为载体，深度践行“问题导向、需求导向”帮扶原则，为我校数学教学提供了宝贵经验。</w:t>
      </w:r>
    </w:p>
    <w:p w14:paraId="60B262F4">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rPr>
        <w:t>数学组在此前已开始探索课堂重构之路。2025年4月，在内坑中学谢金辉老师主办的《棱柱，棱锥，棱台体的表面积和体积》公开课中，学校就开始尝试通过多媒体教学工具GGB软件展示几何图形的三维模型，使抽象的几何知识变得直观易懂。</w:t>
      </w:r>
    </w:p>
    <w:p w14:paraId="133F7A6C">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二、</w:t>
      </w:r>
      <w:r>
        <w:rPr>
          <w:rFonts w:hint="eastAsia" w:ascii="宋体" w:hAnsi="宋体" w:eastAsia="宋体"/>
          <w:sz w:val="24"/>
          <w:szCs w:val="24"/>
        </w:rPr>
        <w:t>三年规划解读：从知识导向到素养导向</w:t>
      </w:r>
    </w:p>
    <w:p w14:paraId="3D51C4D8">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rPr>
        <w:t>教研组长吴资凯老师在会上详细解读了《高中数学学科建设与课堂重构三年规划方案》。该方案基于学校整体的课程建设三年规划框架制定，强调“以学生为中心”的原则。</w:t>
      </w:r>
    </w:p>
    <w:p w14:paraId="2C850FC9">
      <w:pPr>
        <w:spacing w:after="0" w:line="46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规划方案包含三大核心目标：</w:t>
      </w:r>
      <w:r>
        <w:rPr>
          <w:rFonts w:hint="eastAsia" w:ascii="宋体" w:hAnsi="宋体" w:eastAsia="宋体"/>
          <w:sz w:val="24"/>
          <w:szCs w:val="24"/>
          <w:lang w:val="en-US" w:eastAsia="zh-CN"/>
        </w:rPr>
        <w:t>一是</w:t>
      </w:r>
      <w:r>
        <w:rPr>
          <w:rFonts w:hint="eastAsia" w:ascii="宋体" w:hAnsi="宋体" w:eastAsia="宋体"/>
          <w:sz w:val="24"/>
          <w:szCs w:val="24"/>
        </w:rPr>
        <w:t>提高教学质量：通过优化课程设置和教学方法，提高学生学习效果和教师教学能力</w:t>
      </w:r>
      <w:r>
        <w:rPr>
          <w:rFonts w:hint="eastAsia" w:ascii="宋体" w:hAnsi="宋体" w:eastAsia="宋体"/>
          <w:sz w:val="24"/>
          <w:szCs w:val="24"/>
          <w:lang w:eastAsia="zh-CN"/>
        </w:rPr>
        <w:t>。</w:t>
      </w:r>
      <w:r>
        <w:rPr>
          <w:rFonts w:hint="eastAsia" w:ascii="宋体" w:hAnsi="宋体" w:eastAsia="宋体"/>
          <w:sz w:val="24"/>
          <w:szCs w:val="24"/>
          <w:lang w:val="en-US" w:eastAsia="zh-CN"/>
        </w:rPr>
        <w:t>二是</w:t>
      </w:r>
      <w:r>
        <w:rPr>
          <w:rFonts w:hint="eastAsia" w:ascii="宋体" w:hAnsi="宋体" w:eastAsia="宋体"/>
          <w:sz w:val="24"/>
          <w:szCs w:val="24"/>
        </w:rPr>
        <w:t>培养学生综合素质：注重培养学生的创新思维、实践能力和团队合作精神</w:t>
      </w:r>
      <w:r>
        <w:rPr>
          <w:rFonts w:hint="eastAsia" w:ascii="宋体" w:hAnsi="宋体" w:eastAsia="宋体"/>
          <w:sz w:val="24"/>
          <w:szCs w:val="24"/>
          <w:lang w:eastAsia="zh-CN"/>
        </w:rPr>
        <w:t>。</w:t>
      </w:r>
      <w:r>
        <w:rPr>
          <w:rFonts w:hint="eastAsia" w:ascii="宋体" w:hAnsi="宋体" w:eastAsia="宋体"/>
          <w:sz w:val="24"/>
          <w:szCs w:val="24"/>
          <w:lang w:val="en-US" w:eastAsia="zh-CN"/>
        </w:rPr>
        <w:t>三是</w:t>
      </w:r>
      <w:r>
        <w:rPr>
          <w:rFonts w:hint="eastAsia" w:ascii="宋体" w:hAnsi="宋体" w:eastAsia="宋体"/>
          <w:sz w:val="24"/>
          <w:szCs w:val="24"/>
        </w:rPr>
        <w:t>推动课程创新：引入新的教育理念和先进的教育技术，提高课程的吸引力和实用性</w:t>
      </w:r>
      <w:r>
        <w:rPr>
          <w:rFonts w:hint="eastAsia" w:ascii="宋体" w:hAnsi="宋体" w:eastAsia="宋体"/>
          <w:sz w:val="24"/>
          <w:szCs w:val="24"/>
          <w:lang w:eastAsia="zh-CN"/>
        </w:rPr>
        <w:t>。</w:t>
      </w:r>
    </w:p>
    <w:p w14:paraId="1577136B">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rPr>
        <w:t>年度实施计划：循序渐进，注重实效</w:t>
      </w:r>
      <w:r>
        <w:rPr>
          <w:rFonts w:hint="eastAsia" w:ascii="宋体" w:hAnsi="宋体" w:eastAsia="宋体"/>
          <w:sz w:val="24"/>
          <w:szCs w:val="24"/>
          <w:lang w:eastAsia="zh-CN"/>
        </w:rPr>
        <w:t>。</w:t>
      </w:r>
      <w:r>
        <w:rPr>
          <w:rFonts w:hint="eastAsia" w:ascii="宋体" w:hAnsi="宋体" w:eastAsia="宋体"/>
          <w:sz w:val="24"/>
          <w:szCs w:val="24"/>
        </w:rPr>
        <w:t>根据规划，数学学科建设将分三个阶段实施：第一年（2025-2026）：基础建设阶段。重点推进课程设置优化和教学方法改进，开展教师培训和交流活动，建立课程评价与反馈机制。第二年（2026-2027）：实践深化阶段。加强跨学科课程的设计和实施，推广探索式学习和项目制学习，持续推进师资培训和发展。第三年（2027-2028）：融合提升阶段。深化课程创新和教学改革，加强学科交叉与融合，持续优化课程设置和教学方法，完善评价与反馈机制。</w:t>
      </w:r>
    </w:p>
    <w:p w14:paraId="2A618EB6">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三、</w:t>
      </w:r>
      <w:r>
        <w:rPr>
          <w:rFonts w:hint="eastAsia" w:ascii="宋体" w:hAnsi="宋体" w:eastAsia="宋体"/>
          <w:sz w:val="24"/>
          <w:szCs w:val="24"/>
        </w:rPr>
        <w:t>课堂重构策略：聚焦思维品质培养</w:t>
      </w:r>
    </w:p>
    <w:p w14:paraId="28A86DE4">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rPr>
        <w:t>本次教研活动重点讨论了课堂重构的五大实施策略：</w:t>
      </w:r>
    </w:p>
    <w:p w14:paraId="6A25C76C">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1.</w:t>
      </w:r>
      <w:r>
        <w:rPr>
          <w:rFonts w:hint="eastAsia" w:ascii="宋体" w:hAnsi="宋体" w:eastAsia="宋体"/>
          <w:sz w:val="24"/>
          <w:szCs w:val="24"/>
        </w:rPr>
        <w:t>探索性学习方法</w:t>
      </w:r>
      <w:r>
        <w:rPr>
          <w:rFonts w:hint="eastAsia" w:ascii="宋体" w:hAnsi="宋体" w:eastAsia="宋体"/>
          <w:sz w:val="24"/>
          <w:szCs w:val="24"/>
          <w:lang w:eastAsia="zh-CN"/>
        </w:rPr>
        <w:t>。</w:t>
      </w:r>
      <w:r>
        <w:rPr>
          <w:rFonts w:hint="eastAsia" w:ascii="宋体" w:hAnsi="宋体" w:eastAsia="宋体"/>
          <w:sz w:val="24"/>
          <w:szCs w:val="24"/>
        </w:rPr>
        <w:t>鼓励学生主动参与学习，通过实践和探索，培养学生的问题解决能力和创新思维。数学组计划引入项目制学习方法，让学生在真实问题情境中应用数学知识。</w:t>
      </w:r>
    </w:p>
    <w:p w14:paraId="517B5A1C">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2.</w:t>
      </w:r>
      <w:r>
        <w:rPr>
          <w:rFonts w:hint="eastAsia" w:ascii="宋体" w:hAnsi="宋体" w:eastAsia="宋体"/>
          <w:sz w:val="24"/>
          <w:szCs w:val="24"/>
        </w:rPr>
        <w:t>多元化教学手段</w:t>
      </w:r>
      <w:r>
        <w:rPr>
          <w:rFonts w:hint="eastAsia" w:ascii="宋体" w:hAnsi="宋体" w:eastAsia="宋体"/>
          <w:sz w:val="24"/>
          <w:szCs w:val="24"/>
          <w:lang w:eastAsia="zh-CN"/>
        </w:rPr>
        <w:t>。</w:t>
      </w:r>
      <w:r>
        <w:rPr>
          <w:rFonts w:hint="eastAsia" w:ascii="宋体" w:hAnsi="宋体" w:eastAsia="宋体"/>
          <w:sz w:val="24"/>
          <w:szCs w:val="24"/>
        </w:rPr>
        <w:t>采用多种教学手段，如讲座、小组讨论、实验、实地考察等，提高学生的学习兴趣和参与度。特别是要利用信息技术支持教学，如使用多媒体教学、在线学习平台等。</w:t>
      </w:r>
    </w:p>
    <w:p w14:paraId="267699FA">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3.</w:t>
      </w:r>
      <w:r>
        <w:rPr>
          <w:rFonts w:hint="eastAsia" w:ascii="宋体" w:hAnsi="宋体" w:eastAsia="宋体"/>
          <w:sz w:val="24"/>
          <w:szCs w:val="24"/>
        </w:rPr>
        <w:t>思维品质培养</w:t>
      </w:r>
      <w:r>
        <w:rPr>
          <w:rFonts w:hint="eastAsia" w:ascii="宋体" w:hAnsi="宋体" w:eastAsia="宋体"/>
          <w:sz w:val="24"/>
          <w:szCs w:val="24"/>
          <w:lang w:eastAsia="zh-CN"/>
        </w:rPr>
        <w:t>。</w:t>
      </w:r>
      <w:r>
        <w:rPr>
          <w:rFonts w:hint="eastAsia" w:ascii="宋体" w:hAnsi="宋体" w:eastAsia="宋体"/>
          <w:sz w:val="24"/>
          <w:szCs w:val="24"/>
        </w:rPr>
        <w:t>吴资凯组长在《聚焦核心素养，培养思维品质》专题讲座中指出，要培养学生的五大思维品质：深刻性、灵活性、批判性、创造性和严谨性。教学过程中，教师不仅传授知识，更注重对学生思维能力的培养，通过引导学生观察、分析、归纳几何体的特点和规律，培养学生的逻辑思维和创新思维能力。</w:t>
      </w:r>
    </w:p>
    <w:p w14:paraId="4F8D6FB3">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4.</w:t>
      </w:r>
      <w:r>
        <w:rPr>
          <w:rFonts w:hint="eastAsia" w:ascii="宋体" w:hAnsi="宋体" w:eastAsia="宋体"/>
          <w:sz w:val="24"/>
          <w:szCs w:val="24"/>
        </w:rPr>
        <w:t>个性化教学指导</w:t>
      </w:r>
      <w:r>
        <w:rPr>
          <w:rFonts w:hint="eastAsia" w:ascii="宋体" w:hAnsi="宋体" w:eastAsia="宋体"/>
          <w:sz w:val="24"/>
          <w:szCs w:val="24"/>
          <w:lang w:eastAsia="zh-CN"/>
        </w:rPr>
        <w:t>。</w:t>
      </w:r>
      <w:r>
        <w:rPr>
          <w:rFonts w:hint="eastAsia" w:ascii="宋体" w:hAnsi="宋体" w:eastAsia="宋体"/>
          <w:sz w:val="24"/>
          <w:szCs w:val="24"/>
        </w:rPr>
        <w:t>建立个性化导师制度，为每位学生指定一名导师，负责对其进行全程辅导和指导。导师与学生进行定期交流，了解学生的学习、成长和职业规划情况，并提供个性化的指导和帮助。</w:t>
      </w:r>
    </w:p>
    <w:p w14:paraId="29138C2E">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5.</w:t>
      </w:r>
      <w:r>
        <w:rPr>
          <w:rFonts w:hint="eastAsia" w:ascii="宋体" w:hAnsi="宋体" w:eastAsia="宋体"/>
          <w:sz w:val="24"/>
          <w:szCs w:val="24"/>
        </w:rPr>
        <w:t>实践教学强化</w:t>
      </w:r>
      <w:r>
        <w:rPr>
          <w:rFonts w:hint="eastAsia" w:ascii="宋体" w:hAnsi="宋体" w:eastAsia="宋体"/>
          <w:sz w:val="24"/>
          <w:szCs w:val="24"/>
          <w:lang w:eastAsia="zh-CN"/>
        </w:rPr>
        <w:t>。</w:t>
      </w:r>
      <w:r>
        <w:rPr>
          <w:rFonts w:hint="eastAsia" w:ascii="宋体" w:hAnsi="宋体" w:eastAsia="宋体"/>
          <w:sz w:val="24"/>
          <w:szCs w:val="24"/>
        </w:rPr>
        <w:t>加强实践环节的设置，提供实践机会，培养学生的实际操作能力和解决问题的能力。计划建立校企合作平台，与行业领先企业合作开发课程、提供实习实训机会。</w:t>
      </w:r>
    </w:p>
    <w:p w14:paraId="0222C5CE">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四、</w:t>
      </w:r>
      <w:r>
        <w:rPr>
          <w:rFonts w:hint="eastAsia" w:ascii="宋体" w:hAnsi="宋体" w:eastAsia="宋体"/>
          <w:sz w:val="24"/>
          <w:szCs w:val="24"/>
        </w:rPr>
        <w:t>评价体系改革：多元评价，注重过程</w:t>
      </w:r>
    </w:p>
    <w:p w14:paraId="59536FEC">
      <w:pPr>
        <w:spacing w:after="0" w:line="46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规划方案对评价体系也提出了改革方向：</w:t>
      </w:r>
      <w:r>
        <w:rPr>
          <w:rFonts w:hint="eastAsia" w:ascii="宋体" w:hAnsi="宋体" w:eastAsia="宋体"/>
          <w:sz w:val="24"/>
          <w:szCs w:val="24"/>
          <w:lang w:val="en-US" w:eastAsia="zh-CN"/>
        </w:rPr>
        <w:t>一是</w:t>
      </w:r>
      <w:r>
        <w:rPr>
          <w:rFonts w:hint="eastAsia" w:ascii="宋体" w:hAnsi="宋体" w:eastAsia="宋体"/>
          <w:sz w:val="24"/>
          <w:szCs w:val="24"/>
        </w:rPr>
        <w:t>建立多元化评估方式：除了传统的笔试外，还要引入项目作业、实践考核等多种评估方式，全面评价学生的学习成果和综合素养</w:t>
      </w:r>
      <w:r>
        <w:rPr>
          <w:rFonts w:hint="eastAsia" w:ascii="宋体" w:hAnsi="宋体" w:eastAsia="宋体"/>
          <w:sz w:val="24"/>
          <w:szCs w:val="24"/>
          <w:lang w:eastAsia="zh-CN"/>
        </w:rPr>
        <w:t>。</w:t>
      </w:r>
      <w:r>
        <w:rPr>
          <w:rFonts w:hint="eastAsia" w:ascii="宋体" w:hAnsi="宋体" w:eastAsia="宋体"/>
          <w:sz w:val="24"/>
          <w:szCs w:val="24"/>
          <w:lang w:val="en-US" w:eastAsia="zh-CN"/>
        </w:rPr>
        <w:t>二是</w:t>
      </w:r>
      <w:r>
        <w:rPr>
          <w:rFonts w:hint="eastAsia" w:ascii="宋体" w:hAnsi="宋体" w:eastAsia="宋体"/>
          <w:sz w:val="24"/>
          <w:szCs w:val="24"/>
        </w:rPr>
        <w:t>注重过程评价：不仅关注学生的学习结果，还要注重学习过程的评价，鼓励学生的探究和创新能力的发展</w:t>
      </w:r>
      <w:r>
        <w:rPr>
          <w:rFonts w:hint="eastAsia" w:ascii="宋体" w:hAnsi="宋体" w:eastAsia="宋体"/>
          <w:sz w:val="24"/>
          <w:szCs w:val="24"/>
          <w:lang w:eastAsia="zh-CN"/>
        </w:rPr>
        <w:t>。</w:t>
      </w:r>
      <w:r>
        <w:rPr>
          <w:rFonts w:hint="eastAsia" w:ascii="宋体" w:hAnsi="宋体" w:eastAsia="宋体"/>
          <w:sz w:val="24"/>
          <w:szCs w:val="24"/>
          <w:lang w:val="en-US" w:eastAsia="zh-CN"/>
        </w:rPr>
        <w:t>三是</w:t>
      </w:r>
      <w:r>
        <w:rPr>
          <w:rFonts w:hint="eastAsia" w:ascii="宋体" w:hAnsi="宋体" w:eastAsia="宋体"/>
          <w:sz w:val="24"/>
          <w:szCs w:val="24"/>
        </w:rPr>
        <w:t>提供个性化反馈：根据学生的不同需求和特点，提供个性化的反馈和指导，帮助学生改进学习方法和提高学习效果</w:t>
      </w:r>
      <w:r>
        <w:rPr>
          <w:rFonts w:hint="eastAsia" w:ascii="宋体" w:hAnsi="宋体" w:eastAsia="宋体"/>
          <w:sz w:val="24"/>
          <w:szCs w:val="24"/>
          <w:lang w:eastAsia="zh-CN"/>
        </w:rPr>
        <w:t>。</w:t>
      </w:r>
    </w:p>
    <w:p w14:paraId="2F7144A5">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五、</w:t>
      </w:r>
      <w:r>
        <w:rPr>
          <w:rFonts w:hint="eastAsia" w:ascii="宋体" w:hAnsi="宋体" w:eastAsia="宋体"/>
          <w:sz w:val="24"/>
          <w:szCs w:val="24"/>
        </w:rPr>
        <w:t>师资队伍建设：打造高水平“双师型”教师团队</w:t>
      </w:r>
    </w:p>
    <w:p w14:paraId="12C96E6D">
      <w:pPr>
        <w:spacing w:after="0" w:line="46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规划方案强调师资队伍建设的重要性，计划通过多种途径提升教师专业水平</w:t>
      </w:r>
      <w:r>
        <w:rPr>
          <w:rFonts w:hint="eastAsia" w:ascii="宋体" w:hAnsi="宋体" w:eastAsia="宋体"/>
          <w:sz w:val="24"/>
          <w:szCs w:val="24"/>
          <w:lang w:eastAsia="zh-CN"/>
        </w:rPr>
        <w:t>。</w:t>
      </w:r>
      <w:r>
        <w:rPr>
          <w:rFonts w:hint="eastAsia" w:ascii="宋体" w:hAnsi="宋体" w:eastAsia="宋体"/>
          <w:sz w:val="24"/>
          <w:szCs w:val="24"/>
          <w:lang w:val="en-US" w:eastAsia="zh-CN"/>
        </w:rPr>
        <w:t>积极</w:t>
      </w:r>
      <w:r>
        <w:rPr>
          <w:rFonts w:hint="eastAsia" w:ascii="宋体" w:hAnsi="宋体" w:eastAsia="宋体"/>
          <w:sz w:val="24"/>
          <w:szCs w:val="24"/>
        </w:rPr>
        <w:t>组织教师培训</w:t>
      </w:r>
      <w:r>
        <w:rPr>
          <w:rFonts w:hint="eastAsia" w:ascii="宋体" w:hAnsi="宋体" w:eastAsia="宋体"/>
          <w:sz w:val="24"/>
          <w:szCs w:val="24"/>
          <w:lang w:eastAsia="zh-CN"/>
        </w:rPr>
        <w:t>，</w:t>
      </w:r>
      <w:r>
        <w:rPr>
          <w:rFonts w:hint="eastAsia" w:ascii="宋体" w:hAnsi="宋体" w:eastAsia="宋体"/>
          <w:sz w:val="24"/>
          <w:szCs w:val="24"/>
        </w:rPr>
        <w:t>提升教师的学科知识和教学能力</w:t>
      </w:r>
      <w:r>
        <w:rPr>
          <w:rFonts w:hint="eastAsia" w:ascii="宋体" w:hAnsi="宋体" w:eastAsia="宋体"/>
          <w:sz w:val="24"/>
          <w:szCs w:val="24"/>
          <w:lang w:eastAsia="zh-CN"/>
        </w:rPr>
        <w:t>；</w:t>
      </w:r>
      <w:r>
        <w:rPr>
          <w:rFonts w:hint="eastAsia" w:ascii="宋体" w:hAnsi="宋体" w:eastAsia="宋体"/>
          <w:sz w:val="24"/>
          <w:szCs w:val="24"/>
        </w:rPr>
        <w:t>鼓励教师参与教学研究</w:t>
      </w:r>
      <w:r>
        <w:rPr>
          <w:rFonts w:hint="eastAsia" w:ascii="宋体" w:hAnsi="宋体" w:eastAsia="宋体"/>
          <w:sz w:val="24"/>
          <w:szCs w:val="24"/>
          <w:lang w:eastAsia="zh-CN"/>
        </w:rPr>
        <w:t>，</w:t>
      </w:r>
      <w:r>
        <w:rPr>
          <w:rFonts w:hint="eastAsia" w:ascii="宋体" w:hAnsi="宋体" w:eastAsia="宋体"/>
          <w:sz w:val="24"/>
          <w:szCs w:val="24"/>
        </w:rPr>
        <w:t>提高教师的教育教学水平</w:t>
      </w:r>
      <w:r>
        <w:rPr>
          <w:rFonts w:hint="eastAsia" w:ascii="宋体" w:hAnsi="宋体" w:eastAsia="宋体"/>
          <w:sz w:val="24"/>
          <w:szCs w:val="24"/>
          <w:lang w:eastAsia="zh-CN"/>
        </w:rPr>
        <w:t>；</w:t>
      </w:r>
      <w:r>
        <w:rPr>
          <w:rFonts w:hint="eastAsia" w:ascii="宋体" w:hAnsi="宋体" w:eastAsia="宋体"/>
          <w:sz w:val="24"/>
          <w:szCs w:val="24"/>
        </w:rPr>
        <w:t>建立教师交流平台</w:t>
      </w:r>
      <w:r>
        <w:rPr>
          <w:rFonts w:hint="eastAsia" w:ascii="宋体" w:hAnsi="宋体" w:eastAsia="宋体"/>
          <w:sz w:val="24"/>
          <w:szCs w:val="24"/>
          <w:lang w:eastAsia="zh-CN"/>
        </w:rPr>
        <w:t>，</w:t>
      </w:r>
      <w:r>
        <w:rPr>
          <w:rFonts w:hint="eastAsia" w:ascii="宋体" w:hAnsi="宋体" w:eastAsia="宋体"/>
          <w:sz w:val="24"/>
          <w:szCs w:val="24"/>
        </w:rPr>
        <w:t>促进教师之间的合作与共享</w:t>
      </w:r>
      <w:r>
        <w:rPr>
          <w:rFonts w:hint="eastAsia" w:ascii="宋体" w:hAnsi="宋体" w:eastAsia="宋体"/>
          <w:sz w:val="24"/>
          <w:szCs w:val="24"/>
          <w:lang w:eastAsia="zh-CN"/>
        </w:rPr>
        <w:t>；</w:t>
      </w:r>
      <w:r>
        <w:rPr>
          <w:rFonts w:hint="eastAsia" w:ascii="宋体" w:hAnsi="宋体" w:eastAsia="宋体"/>
          <w:sz w:val="24"/>
          <w:szCs w:val="24"/>
        </w:rPr>
        <w:t>建立职业发展机制</w:t>
      </w:r>
      <w:r>
        <w:rPr>
          <w:rFonts w:hint="eastAsia" w:ascii="宋体" w:hAnsi="宋体" w:eastAsia="宋体"/>
          <w:sz w:val="24"/>
          <w:szCs w:val="24"/>
          <w:lang w:eastAsia="zh-CN"/>
        </w:rPr>
        <w:t>，</w:t>
      </w:r>
      <w:r>
        <w:rPr>
          <w:rFonts w:hint="eastAsia" w:ascii="宋体" w:hAnsi="宋体" w:eastAsia="宋体"/>
          <w:sz w:val="24"/>
          <w:szCs w:val="24"/>
        </w:rPr>
        <w:t>为教师提供广阔的职业发展空间和机会</w:t>
      </w:r>
      <w:r>
        <w:rPr>
          <w:rFonts w:hint="eastAsia" w:ascii="宋体" w:hAnsi="宋体" w:eastAsia="宋体"/>
          <w:sz w:val="24"/>
          <w:szCs w:val="24"/>
          <w:lang w:eastAsia="zh-CN"/>
        </w:rPr>
        <w:t>。</w:t>
      </w:r>
    </w:p>
    <w:p w14:paraId="4E37F797">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六、</w:t>
      </w:r>
      <w:r>
        <w:rPr>
          <w:rFonts w:hint="eastAsia" w:ascii="宋体" w:hAnsi="宋体" w:eastAsia="宋体"/>
          <w:sz w:val="24"/>
          <w:szCs w:val="24"/>
        </w:rPr>
        <w:t>预期成果：从教学质量到学生发展的全面提升</w:t>
      </w:r>
    </w:p>
    <w:p w14:paraId="0C521FFF">
      <w:pPr>
        <w:spacing w:after="0" w:line="46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通过三年规划的实施，数学组预期将实现以下目标：教师专业水平明显提升，教学质量得到显著改善</w:t>
      </w:r>
      <w:r>
        <w:rPr>
          <w:rFonts w:hint="eastAsia" w:ascii="宋体" w:hAnsi="宋体" w:eastAsia="宋体"/>
          <w:sz w:val="24"/>
          <w:szCs w:val="24"/>
          <w:lang w:eastAsia="zh-CN"/>
        </w:rPr>
        <w:t>；</w:t>
      </w:r>
      <w:r>
        <w:rPr>
          <w:rFonts w:hint="eastAsia" w:ascii="宋体" w:hAnsi="宋体" w:eastAsia="宋体"/>
          <w:sz w:val="24"/>
          <w:szCs w:val="24"/>
        </w:rPr>
        <w:t>学生学习效果明显提高，获得更广泛的知识和技能</w:t>
      </w:r>
      <w:r>
        <w:rPr>
          <w:rFonts w:hint="eastAsia" w:ascii="宋体" w:hAnsi="宋体" w:eastAsia="宋体"/>
          <w:sz w:val="24"/>
          <w:szCs w:val="24"/>
          <w:lang w:eastAsia="zh-CN"/>
        </w:rPr>
        <w:t>；</w:t>
      </w:r>
      <w:r>
        <w:rPr>
          <w:rFonts w:hint="eastAsia" w:ascii="宋体" w:hAnsi="宋体" w:eastAsia="宋体"/>
          <w:sz w:val="24"/>
          <w:szCs w:val="24"/>
        </w:rPr>
        <w:t>学科建设取得重大突破，提供更多专业发展机会</w:t>
      </w:r>
      <w:r>
        <w:rPr>
          <w:rFonts w:hint="eastAsia" w:ascii="宋体" w:hAnsi="宋体" w:eastAsia="宋体"/>
          <w:sz w:val="24"/>
          <w:szCs w:val="24"/>
          <w:lang w:eastAsia="zh-CN"/>
        </w:rPr>
        <w:t>；</w:t>
      </w:r>
      <w:r>
        <w:rPr>
          <w:rFonts w:hint="eastAsia" w:ascii="宋体" w:hAnsi="宋体" w:eastAsia="宋体"/>
          <w:sz w:val="24"/>
          <w:szCs w:val="24"/>
        </w:rPr>
        <w:t>校园环境和管理服务提升，学生满意度显著提升</w:t>
      </w:r>
      <w:r>
        <w:rPr>
          <w:rFonts w:hint="eastAsia" w:ascii="宋体" w:hAnsi="宋体" w:eastAsia="宋体"/>
          <w:sz w:val="24"/>
          <w:szCs w:val="24"/>
          <w:lang w:eastAsia="zh-CN"/>
        </w:rPr>
        <w:t>。</w:t>
      </w:r>
    </w:p>
    <w:p w14:paraId="7AE894D9">
      <w:pPr>
        <w:spacing w:after="0" w:line="460" w:lineRule="exact"/>
        <w:ind w:firstLine="480" w:firstLineChars="200"/>
        <w:rPr>
          <w:rFonts w:hint="eastAsia" w:ascii="宋体" w:hAnsi="宋体" w:eastAsia="宋体"/>
          <w:sz w:val="24"/>
          <w:szCs w:val="24"/>
        </w:rPr>
      </w:pPr>
      <w:r>
        <w:rPr>
          <w:rFonts w:hint="eastAsia" w:ascii="宋体" w:hAnsi="宋体" w:eastAsia="宋体"/>
          <w:sz w:val="24"/>
          <w:szCs w:val="24"/>
          <w:lang w:val="en-US" w:eastAsia="zh-CN"/>
        </w:rPr>
        <w:t>教务处</w:t>
      </w:r>
      <w:r>
        <w:rPr>
          <w:rFonts w:hint="eastAsia" w:ascii="宋体" w:hAnsi="宋体" w:eastAsia="宋体"/>
          <w:sz w:val="24"/>
          <w:szCs w:val="24"/>
        </w:rPr>
        <w:t>罗典成主任在活动总结中强调，教学不是单向的知识传递，而是点燃学生思维火花的过程。他希望全体教师以此次活动为起点，把思维品质培养融入每一堂课，让数学教学真正成为发展学生核心素养的沃土。</w:t>
      </w:r>
    </w:p>
    <w:p w14:paraId="5DC6C1F6">
      <w:pPr>
        <w:spacing w:after="0" w:line="460" w:lineRule="exact"/>
        <w:ind w:firstLine="480" w:firstLineChars="200"/>
      </w:pPr>
      <w:r>
        <w:rPr>
          <w:rFonts w:hint="eastAsia" w:ascii="宋体" w:hAnsi="宋体" w:eastAsia="宋体"/>
          <w:sz w:val="24"/>
          <w:szCs w:val="24"/>
        </w:rPr>
        <w:t>新学期的第一次教研活动为陈埭民族中学高中数学教学改革绘制了清晰路线图。未来三年，学校将依托“学科建设与课堂重构三年规划”，打造具有民族中学特色的数学教育模式——不仅注重知识传授，更关注学生思维品质的培养。随着规划方案的逐步落地，陈埭民族中学高中数学教育将朝着“深耕核心素养，点亮思维火花”的目标稳步前进，为培养更多具有创新精神和实践能力的人才奠定坚实基础。</w:t>
      </w:r>
    </w:p>
    <w:p w14:paraId="2FD29F29">
      <w:pPr>
        <w:keepNext w:val="0"/>
        <w:keepLines w:val="0"/>
        <w:pageBreakBefore w:val="0"/>
        <w:widowControl/>
        <w:kinsoku/>
        <w:wordWrap/>
        <w:overflowPunct/>
        <w:topLinePunct w:val="0"/>
        <w:autoSpaceDE/>
        <w:autoSpaceDN/>
        <w:bidi w:val="0"/>
        <w:adjustRightInd w:val="0"/>
        <w:snapToGrid w:val="0"/>
        <w:spacing w:after="0" w:line="460" w:lineRule="exact"/>
        <w:ind w:left="6600" w:leftChars="3000"/>
        <w:jc w:val="left"/>
        <w:textAlignment w:val="auto"/>
        <w:rPr>
          <w:rFonts w:hint="eastAsia"/>
          <w:lang w:val="en-US" w:eastAsia="zh-CN"/>
        </w:rPr>
      </w:pPr>
      <w:r>
        <w:rPr>
          <w:rFonts w:hint="eastAsia"/>
          <w:lang w:val="en-US" w:eastAsia="zh-CN"/>
        </w:rPr>
        <w:t>图片和文字：高中数学教研组</w:t>
      </w:r>
    </w:p>
    <w:p w14:paraId="0FE2B959">
      <w:pPr>
        <w:keepNext w:val="0"/>
        <w:keepLines w:val="0"/>
        <w:pageBreakBefore w:val="0"/>
        <w:widowControl/>
        <w:kinsoku/>
        <w:wordWrap/>
        <w:overflowPunct/>
        <w:topLinePunct w:val="0"/>
        <w:autoSpaceDE/>
        <w:autoSpaceDN/>
        <w:bidi w:val="0"/>
        <w:adjustRightInd w:val="0"/>
        <w:snapToGrid w:val="0"/>
        <w:spacing w:after="0" w:line="460" w:lineRule="exact"/>
        <w:ind w:left="6600" w:leftChars="3000"/>
        <w:jc w:val="left"/>
        <w:textAlignment w:val="auto"/>
        <w:rPr>
          <w:rFonts w:hint="default"/>
          <w:lang w:val="en-US" w:eastAsia="zh-CN"/>
        </w:rPr>
      </w:pPr>
      <w:r>
        <w:rPr>
          <w:rFonts w:hint="eastAsia"/>
          <w:lang w:val="en-US" w:eastAsia="zh-CN"/>
        </w:rPr>
        <w:t>一审：教研组组长</w:t>
      </w:r>
    </w:p>
    <w:p w14:paraId="677D02E5">
      <w:pPr>
        <w:keepNext w:val="0"/>
        <w:keepLines w:val="0"/>
        <w:pageBreakBefore w:val="0"/>
        <w:widowControl/>
        <w:kinsoku/>
        <w:wordWrap/>
        <w:overflowPunct/>
        <w:topLinePunct w:val="0"/>
        <w:autoSpaceDE/>
        <w:autoSpaceDN/>
        <w:bidi w:val="0"/>
        <w:adjustRightInd w:val="0"/>
        <w:snapToGrid w:val="0"/>
        <w:spacing w:after="0" w:line="460" w:lineRule="exact"/>
        <w:ind w:left="6600" w:leftChars="3000"/>
        <w:jc w:val="left"/>
        <w:textAlignment w:val="auto"/>
        <w:rPr>
          <w:rFonts w:hint="default"/>
          <w:lang w:val="en-US" w:eastAsia="zh-CN"/>
        </w:rPr>
      </w:pPr>
      <w:r>
        <w:rPr>
          <w:rFonts w:hint="eastAsia"/>
          <w:lang w:val="en-US" w:eastAsia="zh-CN"/>
        </w:rPr>
        <w:t>二审：温博</w:t>
      </w:r>
    </w:p>
    <w:p w14:paraId="3BC4D55D">
      <w:pPr>
        <w:keepNext w:val="0"/>
        <w:keepLines w:val="0"/>
        <w:pageBreakBefore w:val="0"/>
        <w:widowControl/>
        <w:kinsoku/>
        <w:wordWrap/>
        <w:overflowPunct/>
        <w:topLinePunct w:val="0"/>
        <w:autoSpaceDE/>
        <w:autoSpaceDN/>
        <w:bidi w:val="0"/>
        <w:adjustRightInd w:val="0"/>
        <w:snapToGrid w:val="0"/>
        <w:spacing w:after="0" w:line="460" w:lineRule="exact"/>
        <w:ind w:left="6600" w:leftChars="3000"/>
        <w:jc w:val="left"/>
        <w:textAlignment w:val="auto"/>
        <w:rPr>
          <w:rFonts w:hint="default"/>
          <w:lang w:val="en-US" w:eastAsia="zh-CN"/>
        </w:rPr>
      </w:pPr>
      <w:r>
        <w:rPr>
          <w:rFonts w:hint="eastAsia"/>
          <w:lang w:val="en-US" w:eastAsia="zh-CN"/>
        </w:rPr>
        <w:t>三审：莫洪君</w:t>
      </w:r>
    </w:p>
    <w:p w14:paraId="7A6E7417">
      <w:pPr>
        <w:spacing w:after="0" w:line="460" w:lineRule="exact"/>
        <w:jc w:val="both"/>
        <w:rPr>
          <w:rFonts w:hint="default"/>
          <w:lang w:val="en-US" w:eastAsia="zh-CN"/>
        </w:rPr>
      </w:pPr>
      <w:r>
        <w:drawing>
          <wp:anchor distT="0" distB="0" distL="114300" distR="114300" simplePos="0" relativeHeight="251661312" behindDoc="0" locked="0" layoutInCell="1" allowOverlap="1">
            <wp:simplePos x="0" y="0"/>
            <wp:positionH relativeFrom="column">
              <wp:posOffset>4208780</wp:posOffset>
            </wp:positionH>
            <wp:positionV relativeFrom="page">
              <wp:posOffset>1426845</wp:posOffset>
            </wp:positionV>
            <wp:extent cx="2800985" cy="1907540"/>
            <wp:effectExtent l="0" t="0" r="18415" b="16510"/>
            <wp:wrapTopAndBottom/>
            <wp:docPr id="559629446" name="图片 4" descr="一群人站在桌子边&#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629446" name="图片 4" descr="一群人站在桌子边&#10;&#10;AI 生成的内容可能不正确。"/>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800985" cy="1907540"/>
                    </a:xfrm>
                    <a:prstGeom prst="rect">
                      <a:avLst/>
                    </a:prstGeom>
                    <a:noFill/>
                    <a:ln>
                      <a:noFill/>
                    </a:ln>
                  </pic:spPr>
                </pic:pic>
              </a:graphicData>
            </a:graphic>
          </wp:anchor>
        </w:drawing>
      </w:r>
      <w:r>
        <w:drawing>
          <wp:anchor distT="0" distB="0" distL="114300" distR="114300" simplePos="0" relativeHeight="251659264" behindDoc="0" locked="0" layoutInCell="1" allowOverlap="1">
            <wp:simplePos x="0" y="0"/>
            <wp:positionH relativeFrom="column">
              <wp:posOffset>659130</wp:posOffset>
            </wp:positionH>
            <wp:positionV relativeFrom="paragraph">
              <wp:posOffset>34925</wp:posOffset>
            </wp:positionV>
            <wp:extent cx="2639695" cy="1980565"/>
            <wp:effectExtent l="0" t="0" r="8255" b="635"/>
            <wp:wrapTopAndBottom/>
            <wp:docPr id="1752112541" name="图片 2" descr="餐厅里的人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112541" name="图片 2" descr="餐厅里的人们&#10;&#10;AI 生成的内容可能不正确。"/>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639695" cy="1980565"/>
                    </a:xfrm>
                    <a:prstGeom prst="rect">
                      <a:avLst/>
                    </a:prstGeom>
                    <a:noFill/>
                    <a:ln>
                      <a:noFill/>
                    </a:ln>
                  </pic:spPr>
                </pic:pic>
              </a:graphicData>
            </a:graphic>
          </wp:anchor>
        </w:drawing>
      </w:r>
    </w:p>
    <w:p w14:paraId="0FA9ABDF">
      <w:pPr>
        <w:tabs>
          <w:tab w:val="left" w:pos="7903"/>
        </w:tabs>
        <w:spacing w:after="0" w:line="460" w:lineRule="exact"/>
        <w:jc w:val="left"/>
        <w:rPr>
          <w:rFonts w:hint="default"/>
          <w:lang w:val="en-US" w:eastAsia="zh-CN"/>
        </w:rPr>
      </w:pPr>
      <w:bookmarkStart w:id="0" w:name="_GoBack"/>
      <w:r>
        <w:drawing>
          <wp:anchor distT="0" distB="0" distL="114300" distR="114300" simplePos="0" relativeHeight="251660288" behindDoc="0" locked="0" layoutInCell="1" allowOverlap="1">
            <wp:simplePos x="0" y="0"/>
            <wp:positionH relativeFrom="column">
              <wp:posOffset>592455</wp:posOffset>
            </wp:positionH>
            <wp:positionV relativeFrom="page">
              <wp:posOffset>3832225</wp:posOffset>
            </wp:positionV>
            <wp:extent cx="2702560" cy="1790065"/>
            <wp:effectExtent l="0" t="0" r="2540" b="635"/>
            <wp:wrapTopAndBottom/>
            <wp:docPr id="1206477240" name="图片 3" descr="餐厅里的人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477240" name="图片 3" descr="餐厅里的人们&#10;&#10;AI 生成的内容可能不正确。"/>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702560" cy="1790065"/>
                    </a:xfrm>
                    <a:prstGeom prst="rect">
                      <a:avLst/>
                    </a:prstGeom>
                    <a:noFill/>
                    <a:ln>
                      <a:noFill/>
                    </a:ln>
                  </pic:spPr>
                </pic:pic>
              </a:graphicData>
            </a:graphic>
          </wp:anchor>
        </w:drawing>
      </w:r>
      <w:bookmarkEnd w:id="0"/>
      <w:r>
        <w:rPr>
          <w:rFonts w:hint="eastAsia"/>
          <w:lang w:val="en-US" w:eastAsia="zh-CN"/>
        </w:rPr>
        <w:tab/>
      </w:r>
    </w:p>
    <w:sectPr>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84CF4"/>
    <w:rsid w:val="000E614D"/>
    <w:rsid w:val="000E7DB4"/>
    <w:rsid w:val="001002E7"/>
    <w:rsid w:val="00101F08"/>
    <w:rsid w:val="001269FC"/>
    <w:rsid w:val="00186E02"/>
    <w:rsid w:val="001955C9"/>
    <w:rsid w:val="001D4CCB"/>
    <w:rsid w:val="001E3E64"/>
    <w:rsid w:val="00255152"/>
    <w:rsid w:val="002B5910"/>
    <w:rsid w:val="002E4577"/>
    <w:rsid w:val="00323B43"/>
    <w:rsid w:val="003D37D8"/>
    <w:rsid w:val="00426133"/>
    <w:rsid w:val="004358AB"/>
    <w:rsid w:val="0046586F"/>
    <w:rsid w:val="004A6AB0"/>
    <w:rsid w:val="004E5C6C"/>
    <w:rsid w:val="004F35AD"/>
    <w:rsid w:val="00500542"/>
    <w:rsid w:val="00571F83"/>
    <w:rsid w:val="00592573"/>
    <w:rsid w:val="006B7C4D"/>
    <w:rsid w:val="007569DF"/>
    <w:rsid w:val="007F3050"/>
    <w:rsid w:val="008046E2"/>
    <w:rsid w:val="008B03C9"/>
    <w:rsid w:val="008B7726"/>
    <w:rsid w:val="0092759F"/>
    <w:rsid w:val="00933E16"/>
    <w:rsid w:val="009E7EFE"/>
    <w:rsid w:val="00A06FCC"/>
    <w:rsid w:val="00A835EB"/>
    <w:rsid w:val="00AA5DA4"/>
    <w:rsid w:val="00AE33D1"/>
    <w:rsid w:val="00AF5A3E"/>
    <w:rsid w:val="00B31D8B"/>
    <w:rsid w:val="00B72CA3"/>
    <w:rsid w:val="00C02E6F"/>
    <w:rsid w:val="00C852D1"/>
    <w:rsid w:val="00CC39BA"/>
    <w:rsid w:val="00D31D50"/>
    <w:rsid w:val="00D64511"/>
    <w:rsid w:val="00DD0403"/>
    <w:rsid w:val="00DD7056"/>
    <w:rsid w:val="00F3145A"/>
    <w:rsid w:val="00F35798"/>
    <w:rsid w:val="00F6195B"/>
    <w:rsid w:val="00FD24A5"/>
    <w:rsid w:val="00FD6350"/>
    <w:rsid w:val="062736E9"/>
    <w:rsid w:val="076B1CFB"/>
    <w:rsid w:val="07E1307F"/>
    <w:rsid w:val="0A4703B1"/>
    <w:rsid w:val="10D75D0B"/>
    <w:rsid w:val="14504752"/>
    <w:rsid w:val="14A934DB"/>
    <w:rsid w:val="1CE819CC"/>
    <w:rsid w:val="1F3C1B5B"/>
    <w:rsid w:val="20084133"/>
    <w:rsid w:val="26783342"/>
    <w:rsid w:val="27BF3329"/>
    <w:rsid w:val="2F3C5BA7"/>
    <w:rsid w:val="33A16DC2"/>
    <w:rsid w:val="33D2251A"/>
    <w:rsid w:val="35374815"/>
    <w:rsid w:val="368816D2"/>
    <w:rsid w:val="3EEB27FE"/>
    <w:rsid w:val="4258464E"/>
    <w:rsid w:val="436B215F"/>
    <w:rsid w:val="44E24DB2"/>
    <w:rsid w:val="44FD2A4D"/>
    <w:rsid w:val="4D573FC9"/>
    <w:rsid w:val="51204589"/>
    <w:rsid w:val="519038B4"/>
    <w:rsid w:val="53083527"/>
    <w:rsid w:val="54296C5D"/>
    <w:rsid w:val="54BB7BAA"/>
    <w:rsid w:val="5CA82D6D"/>
    <w:rsid w:val="604E1113"/>
    <w:rsid w:val="678418BE"/>
    <w:rsid w:val="6C5374D3"/>
    <w:rsid w:val="6FCC795E"/>
    <w:rsid w:val="70A703CB"/>
    <w:rsid w:val="717E02C8"/>
    <w:rsid w:val="72477877"/>
    <w:rsid w:val="74C73F4D"/>
    <w:rsid w:val="75230E5D"/>
    <w:rsid w:val="7BB46A6D"/>
    <w:rsid w:val="7BDC361F"/>
    <w:rsid w:val="7CE36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uiPriority w:val="99"/>
    <w:pPr>
      <w:spacing w:after="0"/>
    </w:pPr>
    <w:rPr>
      <w:sz w:val="18"/>
      <w:szCs w:val="18"/>
    </w:rPr>
  </w:style>
  <w:style w:type="character" w:customStyle="1" w:styleId="5">
    <w:name w:val="批注框文本 字符"/>
    <w:basedOn w:val="4"/>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2146</Words>
  <Characters>2183</Characters>
  <Lines>42</Lines>
  <Paragraphs>53</Paragraphs>
  <TotalTime>99</TotalTime>
  <ScaleCrop>false</ScaleCrop>
  <LinksUpToDate>false</LinksUpToDate>
  <CharactersWithSpaces>2188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Lenovo</dc:creator>
  <cp:lastModifiedBy>嗯。过。</cp:lastModifiedBy>
  <dcterms:modified xsi:type="dcterms:W3CDTF">2025-09-03T08:47:02Z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eyJoZGlkIjoiZTczZTFiYjRlMjFiYzk1MjU3ZDI5MjYzNmI0N2JkNDAiLCJ1c2VySWQiOiI1NzQyNjUxODgifQ==</vt:lpwstr>
  </property>
  <property fmtid="{D5CDD505-2E9C-101B-9397-08002B2CF9AE}" pid="3" name="KSOProductBuildVer">
    <vt:lpwstr>2052-12.1.0.22529</vt:lpwstr>
  </property>
  <property fmtid="{D5CDD505-2E9C-101B-9397-08002B2CF9AE}" pid="4" name="ICV">
    <vt:lpwstr>923F3D4FEBCB431EB0839480674554AF_13</vt:lpwstr>
  </property>
</Properties>
</file>